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7085" w14:textId="77777777" w:rsidR="00D61513" w:rsidRDefault="00D61513"/>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6151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6151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61513">
        <w:trPr>
          <w:trHeight w:val="68"/>
          <w:jc w:val="center"/>
        </w:trPr>
        <w:tc>
          <w:tcPr>
            <w:tcW w:w="8782"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AECAAB4" w:rsidR="00E978D0" w:rsidRPr="00B57B36" w:rsidRDefault="001018C7" w:rsidP="00E978D0">
      <w:pPr>
        <w:pStyle w:val="CETTitle"/>
      </w:pPr>
      <w:r w:rsidRPr="001018C7">
        <w:t>M</w:t>
      </w:r>
      <w:r>
        <w:t>embrane</w:t>
      </w:r>
      <w:r w:rsidRPr="001018C7">
        <w:t>-L</w:t>
      </w:r>
      <w:r>
        <w:t>ess</w:t>
      </w:r>
      <w:r w:rsidRPr="001018C7">
        <w:t xml:space="preserve"> B</w:t>
      </w:r>
      <w:r>
        <w:t>ioelectrochemical Reactor</w:t>
      </w:r>
      <w:r w:rsidR="009251F3">
        <w:t xml:space="preserve"> f</w:t>
      </w:r>
      <w:r>
        <w:t xml:space="preserve">or </w:t>
      </w:r>
      <w:r w:rsidR="003E6CD0">
        <w:t>the</w:t>
      </w:r>
      <w:r w:rsidR="003E6CD0" w:rsidRPr="001018C7">
        <w:t xml:space="preserve"> </w:t>
      </w:r>
      <w:r w:rsidRPr="001018C7">
        <w:t>T</w:t>
      </w:r>
      <w:r>
        <w:t>reatment</w:t>
      </w:r>
      <w:r w:rsidR="009251F3">
        <w:t xml:space="preserve"> o</w:t>
      </w:r>
      <w:r>
        <w:t>f</w:t>
      </w:r>
      <w:r w:rsidRPr="001018C7">
        <w:t xml:space="preserve"> G</w:t>
      </w:r>
      <w:r>
        <w:t>roundwater</w:t>
      </w:r>
      <w:r w:rsidRPr="001018C7">
        <w:t xml:space="preserve"> C</w:t>
      </w:r>
      <w:r>
        <w:t>ontaminated</w:t>
      </w:r>
      <w:r w:rsidRPr="001018C7">
        <w:t xml:space="preserve"> </w:t>
      </w:r>
      <w:r w:rsidR="009251F3">
        <w:t>by Toluene a</w:t>
      </w:r>
      <w:r>
        <w:t>nd</w:t>
      </w:r>
      <w:r w:rsidRPr="001018C7">
        <w:t xml:space="preserve"> T</w:t>
      </w:r>
      <w:r>
        <w:t>richloroethene</w:t>
      </w:r>
    </w:p>
    <w:p w14:paraId="0488FED2" w14:textId="040F0F1B" w:rsidR="00B57E6F" w:rsidRPr="009251F3" w:rsidRDefault="009251F3" w:rsidP="00B57E6F">
      <w:pPr>
        <w:pStyle w:val="CETAuthors"/>
        <w:rPr>
          <w:lang w:val="it-IT"/>
        </w:rPr>
      </w:pPr>
      <w:r w:rsidRPr="009251F3">
        <w:rPr>
          <w:lang w:val="it-IT"/>
        </w:rPr>
        <w:t>Tucci Matteo, De Laurentiis Camilla, Resitano Marco, Cruz Viggi Carolina, Aulenta Federico</w:t>
      </w:r>
      <w:r>
        <w:rPr>
          <w:lang w:val="it-IT"/>
        </w:rPr>
        <w:t>*</w:t>
      </w:r>
    </w:p>
    <w:p w14:paraId="6B2D21B3" w14:textId="6A9B15A1" w:rsidR="00B57E6F" w:rsidRPr="00B57B36" w:rsidRDefault="009251F3" w:rsidP="00B57E6F">
      <w:pPr>
        <w:pStyle w:val="CETAddress"/>
      </w:pPr>
      <w:r w:rsidRPr="009251F3">
        <w:t>Water Research Institute (IRSA), National Research Council (CNR), 00015 Monterotondo (RM), Italy</w:t>
      </w:r>
      <w:r w:rsidR="00B57E6F" w:rsidRPr="009251F3">
        <w:t xml:space="preserve"> </w:t>
      </w:r>
    </w:p>
    <w:p w14:paraId="73F1267A" w14:textId="04AAC281" w:rsidR="00B57E6F" w:rsidRPr="00B57B36" w:rsidRDefault="009251F3" w:rsidP="00B57E6F">
      <w:pPr>
        <w:pStyle w:val="CETemail"/>
      </w:pPr>
      <w:r>
        <w:t>federico.aulenta</w:t>
      </w:r>
      <w:r w:rsidR="00B57E6F" w:rsidRPr="00B57B36">
        <w:t>@</w:t>
      </w:r>
      <w:r>
        <w:t>irsa.cnr</w:t>
      </w:r>
      <w:r w:rsidR="00B57E6F" w:rsidRPr="00B57B36">
        <w:t>.</w:t>
      </w:r>
      <w:r>
        <w:t>it</w:t>
      </w:r>
    </w:p>
    <w:p w14:paraId="5AB2F486" w14:textId="77777777" w:rsidR="00C53063" w:rsidRDefault="00C53063" w:rsidP="00C53063">
      <w:pPr>
        <w:pStyle w:val="CETnumberingbullets"/>
        <w:numPr>
          <w:ilvl w:val="0"/>
          <w:numId w:val="0"/>
        </w:numPr>
        <w:jc w:val="both"/>
        <w:rPr>
          <w:color w:val="4F81BD" w:themeColor="accent1"/>
        </w:rPr>
      </w:pPr>
      <w:bookmarkStart w:id="0" w:name="_Hlk495475023"/>
    </w:p>
    <w:p w14:paraId="79D77E36" w14:textId="4E312200" w:rsidR="00AF5664" w:rsidRPr="00D61513" w:rsidRDefault="00AF5664" w:rsidP="00C53063">
      <w:pPr>
        <w:pStyle w:val="CETnumberingbullets"/>
        <w:numPr>
          <w:ilvl w:val="0"/>
          <w:numId w:val="0"/>
        </w:numPr>
        <w:jc w:val="both"/>
      </w:pPr>
      <w:r w:rsidRPr="00D61513">
        <w:t>To address the ever-growing environmental problem of groundwater contamination, microbial electrochemical technologie</w:t>
      </w:r>
      <w:r w:rsidR="0089731A">
        <w:t xml:space="preserve">s (METs) are being studied as </w:t>
      </w:r>
      <w:r w:rsidRPr="00D61513">
        <w:t>promising substitute</w:t>
      </w:r>
      <w:r w:rsidR="0089731A">
        <w:t>s</w:t>
      </w:r>
      <w:r w:rsidRPr="00D61513">
        <w:t xml:space="preserve"> </w:t>
      </w:r>
      <w:r w:rsidR="0089731A">
        <w:t>for</w:t>
      </w:r>
      <w:r w:rsidRPr="00D61513">
        <w:t xml:space="preserve"> traditional remediation techniques. Among their many advantages, they possess the capability of providing a virtually inexhaustible electron acceptor (or donor) directly in the aquifer without addition of air, </w:t>
      </w:r>
      <w:proofErr w:type="gramStart"/>
      <w:r w:rsidRPr="00D61513">
        <w:t>oxygen</w:t>
      </w:r>
      <w:proofErr w:type="gramEnd"/>
      <w:r w:rsidRPr="00D61513">
        <w:t xml:space="preserve"> or other chemicals. In this way</w:t>
      </w:r>
      <w:r w:rsidR="002E69E5">
        <w:t>,</w:t>
      </w:r>
      <w:r w:rsidRPr="00D61513">
        <w:t xml:space="preserve"> they can promot</w:t>
      </w:r>
      <w:r w:rsidR="00C40204">
        <w:t>e microbially-driven oxidation and/</w:t>
      </w:r>
      <w:r w:rsidRPr="00D61513">
        <w:t>or reduction of contaminants in-situ</w:t>
      </w:r>
      <w:r w:rsidR="003E6CD0">
        <w:t>,</w:t>
      </w:r>
      <w:r w:rsidRPr="00D61513">
        <w:t xml:space="preserve"> </w:t>
      </w:r>
      <w:r w:rsidR="003E6CD0">
        <w:t>in</w:t>
      </w:r>
      <w:r w:rsidR="003E6CD0" w:rsidRPr="00D61513">
        <w:t xml:space="preserve"> </w:t>
      </w:r>
      <w:r w:rsidRPr="00D61513">
        <w:t xml:space="preserve">a more sustainable and cost-effective </w:t>
      </w:r>
      <w:r w:rsidR="003E6CD0">
        <w:t>way</w:t>
      </w:r>
      <w:r w:rsidRPr="00D61513">
        <w:t>.</w:t>
      </w:r>
    </w:p>
    <w:p w14:paraId="5B11D2E1" w14:textId="5F7973C0" w:rsidR="00AF5664" w:rsidRPr="00D61513" w:rsidRDefault="00AF5664" w:rsidP="00C53063">
      <w:pPr>
        <w:pStyle w:val="CETnumberingbullets"/>
        <w:numPr>
          <w:ilvl w:val="0"/>
          <w:numId w:val="0"/>
        </w:numPr>
        <w:jc w:val="both"/>
      </w:pPr>
      <w:r w:rsidRPr="00D61513">
        <w:t>In this work, a tubular membrane-less bioelectrochemical reactor</w:t>
      </w:r>
      <w:r w:rsidR="00D61513" w:rsidRPr="00D61513">
        <w:t xml:space="preserve"> known as</w:t>
      </w:r>
      <w:r w:rsidR="003E6CD0">
        <w:t xml:space="preserve"> the</w:t>
      </w:r>
      <w:r w:rsidR="00D61513" w:rsidRPr="00D61513">
        <w:t xml:space="preserve"> “bioelectric well”</w:t>
      </w:r>
      <w:r w:rsidRPr="00D61513">
        <w:t xml:space="preserve"> was</w:t>
      </w:r>
      <w:r w:rsidR="0089731A">
        <w:t xml:space="preserve"> tested at the laboratory-scale</w:t>
      </w:r>
      <w:r w:rsidRPr="00D61513">
        <w:t xml:space="preserve"> for the simultaneous removal of toluene and trichloroethene (TCE), two ubiquitous and harmful groundwater pollutants. The reactor housed a cylindrical graphite anode and a concentric stainless-steel mesh cathode</w:t>
      </w:r>
      <w:r w:rsidR="00852D14">
        <w:t>, which</w:t>
      </w:r>
      <w:r w:rsidRPr="00D61513">
        <w:t xml:space="preserve"> were kept physically separated by a polyethylene mesh, which still ensured hydraulic connection between the electrodes. The anode potential was set at +0.2 V vs. </w:t>
      </w:r>
      <w:r w:rsidR="003E6CD0">
        <w:t xml:space="preserve">the </w:t>
      </w:r>
      <w:r w:rsidRPr="00D61513">
        <w:t xml:space="preserve">standard hydrogen electrode (SHE) by means of a potentiostat. The reactor was packed with sand </w:t>
      </w:r>
      <w:proofErr w:type="gramStart"/>
      <w:r w:rsidRPr="00D61513">
        <w:t>in order to</w:t>
      </w:r>
      <w:proofErr w:type="gramEnd"/>
      <w:r w:rsidRPr="00D61513">
        <w:t xml:space="preserve"> </w:t>
      </w:r>
      <w:proofErr w:type="spellStart"/>
      <w:r w:rsidRPr="00D61513">
        <w:t>favor</w:t>
      </w:r>
      <w:proofErr w:type="spellEnd"/>
      <w:r w:rsidRPr="00D61513">
        <w:t xml:space="preserve"> the retention of slow-growing anaerobic dechlorinating bacteria.</w:t>
      </w:r>
      <w:r w:rsidR="00852D14">
        <w:t xml:space="preserve"> </w:t>
      </w:r>
      <w:r w:rsidRPr="00D61513">
        <w:t>Throughout the study, the reactor was operated in continuous-flow mode (average hydraulic retention time 12 hours</w:t>
      </w:r>
      <w:proofErr w:type="gramStart"/>
      <w:r w:rsidRPr="00D61513">
        <w:t xml:space="preserve">), </w:t>
      </w:r>
      <w:r w:rsidR="00F921AC">
        <w:t>and</w:t>
      </w:r>
      <w:proofErr w:type="gramEnd"/>
      <w:r w:rsidR="00F921AC">
        <w:t xml:space="preserve"> </w:t>
      </w:r>
      <w:r w:rsidR="003E6CD0">
        <w:t xml:space="preserve">was </w:t>
      </w:r>
      <w:r w:rsidR="00F921AC">
        <w:t>fe</w:t>
      </w:r>
      <w:r w:rsidRPr="00D61513">
        <w:t>d</w:t>
      </w:r>
      <w:r w:rsidR="00F921AC">
        <w:t xml:space="preserve"> with</w:t>
      </w:r>
      <w:r w:rsidRPr="00D61513">
        <w:t xml:space="preserve"> artificial groundwa</w:t>
      </w:r>
      <w:r w:rsidR="00413334">
        <w:t>ter spiked with toluene and TCE.</w:t>
      </w:r>
    </w:p>
    <w:p w14:paraId="73EA4951" w14:textId="3699D433" w:rsidR="00600535" w:rsidRPr="00D61513" w:rsidRDefault="00AF5664" w:rsidP="00C53063">
      <w:pPr>
        <w:pStyle w:val="CETnumberingbullets"/>
        <w:numPr>
          <w:ilvl w:val="0"/>
          <w:numId w:val="0"/>
        </w:numPr>
        <w:jc w:val="both"/>
      </w:pPr>
      <w:r w:rsidRPr="00D61513">
        <w:t>The performan</w:t>
      </w:r>
      <w:r w:rsidR="00413334">
        <w:t>ce of the system was evaluated</w:t>
      </w:r>
      <w:r w:rsidRPr="00D61513">
        <w:t xml:space="preserve"> primarily in terms of </w:t>
      </w:r>
      <w:r w:rsidR="002E69E5">
        <w:t xml:space="preserve">the </w:t>
      </w:r>
      <w:r w:rsidR="00413334" w:rsidRPr="00D61513">
        <w:t>electric current generation</w:t>
      </w:r>
      <w:r w:rsidR="00413334">
        <w:t>,</w:t>
      </w:r>
      <w:r w:rsidR="00413334" w:rsidRPr="00D61513">
        <w:t xml:space="preserve"> </w:t>
      </w:r>
      <w:r w:rsidRPr="00D61513">
        <w:t>toluene oxidation</w:t>
      </w:r>
      <w:r w:rsidR="00413334">
        <w:t>,</w:t>
      </w:r>
      <w:r w:rsidRPr="00D61513">
        <w:t xml:space="preserve"> TCE </w:t>
      </w:r>
      <w:r w:rsidR="00413334">
        <w:t xml:space="preserve">removal, reductive </w:t>
      </w:r>
      <w:r w:rsidRPr="00D61513">
        <w:t>dechlorination</w:t>
      </w:r>
      <w:r w:rsidR="00C40204">
        <w:t xml:space="preserve"> (RD)</w:t>
      </w:r>
      <w:r w:rsidR="00413334">
        <w:t xml:space="preserve"> products formation</w:t>
      </w:r>
      <w:r w:rsidRPr="00D61513">
        <w:t>,</w:t>
      </w:r>
      <w:r w:rsidR="00413334">
        <w:t xml:space="preserve"> and</w:t>
      </w:r>
      <w:r w:rsidRPr="00D61513">
        <w:t xml:space="preserve"> coulombic efficiency.</w:t>
      </w:r>
      <w:r w:rsidR="00413334">
        <w:t xml:space="preserve"> </w:t>
      </w:r>
      <w:r w:rsidR="00C40204">
        <w:t xml:space="preserve">When the system was polarized, a steady increase </w:t>
      </w:r>
      <w:r w:rsidR="00852D14">
        <w:t>in the</w:t>
      </w:r>
      <w:r w:rsidR="00C40204">
        <w:t xml:space="preserve"> </w:t>
      </w:r>
      <w:r w:rsidR="00852D14">
        <w:t xml:space="preserve">removal of </w:t>
      </w:r>
      <w:r w:rsidR="00C40204">
        <w:t>contaminant</w:t>
      </w:r>
      <w:r w:rsidR="00852D14">
        <w:t>s</w:t>
      </w:r>
      <w:r w:rsidR="00C40204">
        <w:t xml:space="preserve"> was observed, together with an increase in the formation of RD products and methane. </w:t>
      </w:r>
      <w:r w:rsidR="00B94C2E">
        <w:t>A</w:t>
      </w:r>
      <w:r w:rsidR="00B94C2E" w:rsidRPr="00C40204">
        <w:t>t the end of the polarized run</w:t>
      </w:r>
      <w:r w:rsidR="00B94C2E">
        <w:t>,</w:t>
      </w:r>
      <w:r w:rsidR="00B94C2E" w:rsidRPr="00C40204">
        <w:t xml:space="preserve"> </w:t>
      </w:r>
      <w:r w:rsidR="00B94C2E">
        <w:t>t</w:t>
      </w:r>
      <w:r w:rsidR="00C40204" w:rsidRPr="00C40204">
        <w:t xml:space="preserve">he removal rates </w:t>
      </w:r>
      <w:r w:rsidR="00B94C2E">
        <w:t>of</w:t>
      </w:r>
      <w:r w:rsidR="00C40204" w:rsidRPr="00C40204">
        <w:t xml:space="preserve"> toluene and TCE were</w:t>
      </w:r>
      <w:r w:rsidR="00B94C2E">
        <w:t xml:space="preserve"> as high as</w:t>
      </w:r>
      <w:r w:rsidR="00C40204" w:rsidRPr="00C40204">
        <w:t xml:space="preserve"> 0.76 ± 0.23 and 0.35 ± 0.05 µmol L</w:t>
      </w:r>
      <w:r w:rsidR="00C40204" w:rsidRPr="00B94C2E">
        <w:rPr>
          <w:vertAlign w:val="superscript"/>
        </w:rPr>
        <w:t>-1</w:t>
      </w:r>
      <w:r w:rsidR="00C40204" w:rsidRPr="00C40204">
        <w:t xml:space="preserve"> d</w:t>
      </w:r>
      <w:r w:rsidR="00C40204" w:rsidRPr="00B94C2E">
        <w:rPr>
          <w:vertAlign w:val="superscript"/>
        </w:rPr>
        <w:t>-1</w:t>
      </w:r>
      <w:r w:rsidR="00852D14">
        <w:t xml:space="preserve">, corresponding </w:t>
      </w:r>
      <w:r w:rsidR="00C40204" w:rsidRPr="00C40204">
        <w:t xml:space="preserve">to </w:t>
      </w:r>
      <w:r w:rsidR="00852D14" w:rsidRPr="00C40204">
        <w:t>38%</w:t>
      </w:r>
      <w:r w:rsidR="00852D14" w:rsidRPr="00852D14">
        <w:t xml:space="preserve"> </w:t>
      </w:r>
      <w:r w:rsidR="00852D14" w:rsidRPr="00C40204">
        <w:t>and 89%</w:t>
      </w:r>
      <w:r w:rsidR="00852D14">
        <w:t xml:space="preserve"> of</w:t>
      </w:r>
      <w:r w:rsidR="00852D14" w:rsidRPr="00C40204">
        <w:t xml:space="preserve"> </w:t>
      </w:r>
      <w:r w:rsidR="00C40204" w:rsidRPr="00C40204">
        <w:t xml:space="preserve">the contaminant load </w:t>
      </w:r>
      <w:r w:rsidR="00852D14">
        <w:t xml:space="preserve">present in the influent for toluene </w:t>
      </w:r>
      <w:r w:rsidR="00D177A2">
        <w:t>and</w:t>
      </w:r>
      <w:r w:rsidR="00852D14">
        <w:t xml:space="preserve"> TCE, respectively</w:t>
      </w:r>
      <w:r w:rsidR="00C40204" w:rsidRPr="00C40204">
        <w:t xml:space="preserve">. </w:t>
      </w:r>
      <w:r w:rsidRPr="00D61513">
        <w:t xml:space="preserve">Overall, </w:t>
      </w:r>
      <w:r w:rsidR="00E80E3E">
        <w:t>the obtained results</w:t>
      </w:r>
      <w:r w:rsidRPr="00D61513">
        <w:t xml:space="preserve"> convincingly demonstrate that anodic and cathodic processes can be simultaneously exploited within an ad hoc designed bioelectrochemical reactor for the treatment of problematic groundwater containing a mixture of oxidizable and reducible contaminants.</w:t>
      </w:r>
    </w:p>
    <w:p w14:paraId="73BD1E2B" w14:textId="77777777" w:rsidR="00C53063" w:rsidRPr="00AF5664" w:rsidRDefault="00C53063" w:rsidP="00C53063">
      <w:pPr>
        <w:pStyle w:val="CETnumberingbullets"/>
        <w:numPr>
          <w:ilvl w:val="0"/>
          <w:numId w:val="0"/>
        </w:numPr>
        <w:jc w:val="both"/>
        <w:rPr>
          <w:b/>
          <w:color w:val="4F81BD" w:themeColor="accent1"/>
        </w:rPr>
      </w:pPr>
    </w:p>
    <w:bookmarkEnd w:id="0"/>
    <w:p w14:paraId="476B2F2E" w14:textId="77777777" w:rsidR="00600535" w:rsidRPr="00B57B36" w:rsidRDefault="00600535" w:rsidP="00600535">
      <w:pPr>
        <w:pStyle w:val="CETHeading1"/>
        <w:rPr>
          <w:lang w:val="en-GB"/>
        </w:rPr>
      </w:pPr>
      <w:r w:rsidRPr="00B57B36">
        <w:rPr>
          <w:lang w:val="en-GB"/>
        </w:rPr>
        <w:t>Introduction</w:t>
      </w:r>
    </w:p>
    <w:p w14:paraId="482166D3" w14:textId="2DA54CC4" w:rsidR="002320EB" w:rsidRDefault="00200DF0" w:rsidP="009A3518">
      <w:pPr>
        <w:rPr>
          <w:color w:val="4F81BD" w:themeColor="accent1"/>
        </w:rPr>
      </w:pPr>
      <w:r w:rsidRPr="00200DF0">
        <w:t>Chlorinated aliphatic hydrocarbons (CAH) and p</w:t>
      </w:r>
      <w:r w:rsidR="0099008D" w:rsidRPr="00200DF0">
        <w:t xml:space="preserve">etroleum hydrocarbons (PH) are </w:t>
      </w:r>
      <w:r w:rsidR="00300940" w:rsidRPr="00200DF0">
        <w:t xml:space="preserve">often found in </w:t>
      </w:r>
      <w:r w:rsidR="0099008D" w:rsidRPr="00200DF0">
        <w:t xml:space="preserve">soil and groundwater </w:t>
      </w:r>
      <w:r w:rsidR="00300940" w:rsidRPr="00200DF0">
        <w:t>due to</w:t>
      </w:r>
      <w:r w:rsidR="0099008D" w:rsidRPr="00200DF0">
        <w:t xml:space="preserve"> </w:t>
      </w:r>
      <w:r w:rsidR="00300940" w:rsidRPr="00200DF0">
        <w:t>underground tanks</w:t>
      </w:r>
      <w:r w:rsidRPr="00200DF0">
        <w:t xml:space="preserve"> leakage</w:t>
      </w:r>
      <w:r w:rsidR="00300940" w:rsidRPr="00200DF0">
        <w:t xml:space="preserve">, </w:t>
      </w:r>
      <w:r w:rsidR="0099008D" w:rsidRPr="00200DF0">
        <w:t xml:space="preserve">accidental spills, </w:t>
      </w:r>
      <w:r w:rsidR="00300940" w:rsidRPr="00200DF0">
        <w:t>and</w:t>
      </w:r>
      <w:r w:rsidR="0099008D" w:rsidRPr="00200DF0">
        <w:t xml:space="preserve"> improper </w:t>
      </w:r>
      <w:r w:rsidRPr="007D05D4">
        <w:t>industrial</w:t>
      </w:r>
      <w:r w:rsidR="0099008D" w:rsidRPr="007D05D4">
        <w:t xml:space="preserve"> practices</w:t>
      </w:r>
      <w:r w:rsidR="00AD62EC" w:rsidRPr="007D05D4">
        <w:t xml:space="preserve"> </w:t>
      </w:r>
      <w:r w:rsidR="00AD62EC" w:rsidRPr="007D05D4">
        <w:fldChar w:fldCharType="begin" w:fldLock="1"/>
      </w:r>
      <w:r w:rsidR="00690C2B">
        <w:instrText>ADDIN CSL_CITATION {"citationItems":[{"id":"ITEM-1","itemData":{"DOI":"10.1016/j.scitotenv.2021.148717","ISSN":"18791026","PMID":"34323754","abstract":"In this study, we investigated a fractured karst aquifer polluted by chlorinated hydrocarbons to determine the contamination characteristics of the main hydrocarbon components. The natural attenuation processes of representative components were simulated and forecasted using TMVOC and hydro-chemical components (NO3−, SO42−, HCO3− Cl− and δ13CDIC). The impact of hydrocarbon compounds on the hydro-chemical ions were estimated, and their historical contamination characteristics were also reconstructed. Results showed that the dynamic characteristics of Trichloromethane and 1,1,2-Trichlorethane can indicate those of chlorinated hydrocarbons, where the rate of natural attenuation was observed to decrease with decreasing concentrations of hydrocarbon compounds. Additionally, the long-term variation characteristics in groundwater levels showed that the relatively stable hydrodynamic field conditions enabled the simulation of the natural attenuation processes of chlorinated hydrocarbons. The simulation which also considered the biodegradation processes showed that the use of TMVOC and hydro-chemical parameters may better describe natural attenuation processes. Over 3 years (from 2017 to 2019), the average percentage of biodegradation in the total natural attenuation was estimated to be 88.35%. Similarly, Trichloromethane and 1,1,2-Trichlorethane are forecasted to have no health hazards in 10 and 15 years, respectively. The contribution rates of biodegradation to HCO3− and Cl− in the fractured karst aquifer varied with the concentrations of chlorinated hydrocarbons. Overall, the findings and methods in this work have significant contributions for advancing remediation developments of petroleum hydrocarbons, especially in karst environments that are highly susceptible to contamination.","author":[{"dropping-particle":"","family":"Guo","given":"Yongli","non-dropping-particle":"","parse-names":false,"suffix":""},{"dropping-particle":"","family":"Wen","given":"Zhang","non-dropping-particle":"","parse-names":false,"suffix":""},{"dropping-particle":"","family":"Zhang","given":"Cheng","non-dropping-particle":"","parse-names":false,"suffix":""},{"dropping-particle":"","family":"Jakada","given":"Hamza","non-dropping-particle":"","parse-names":false,"suffix":""}],"container-title":"Science of the Total Environment","id":"ITEM-1","issued":{"date-parts":[["2021"]]},"page":"148717","publisher":"Elsevier B.V.","title":"Contamination characteristics of chlorinated hydrocarbons in a fractured karst aquifer using TMVOC and hydro-chemical techniques","type":"article-journal","volume":"794"},"uris":["http://www.mendeley.com/documents/?uuid=98b29611-873b-4574-b4af-c0bff83b1f34"]}],"mendeley":{"formattedCitation":"(Guo et al., 2021)","plainTextFormattedCitation":"(Guo et al., 2021)","previouslyFormattedCitation":"(Guo et al., 2021)"},"properties":{"noteIndex":0},"schema":"https://github.com/citation-style-language/schema/raw/master/csl-citation.json"}</w:instrText>
      </w:r>
      <w:r w:rsidR="00AD62EC" w:rsidRPr="007D05D4">
        <w:fldChar w:fldCharType="separate"/>
      </w:r>
      <w:r w:rsidR="007D05D4" w:rsidRPr="007D05D4">
        <w:rPr>
          <w:noProof/>
        </w:rPr>
        <w:t>(Guo et al., 2021)</w:t>
      </w:r>
      <w:r w:rsidR="00AD62EC" w:rsidRPr="007D05D4">
        <w:fldChar w:fldCharType="end"/>
      </w:r>
      <w:r w:rsidR="00300940" w:rsidRPr="007D05D4">
        <w:t xml:space="preserve">. </w:t>
      </w:r>
      <w:r w:rsidRPr="007D05D4">
        <w:t>Because of</w:t>
      </w:r>
      <w:r w:rsidR="00300940" w:rsidRPr="007D05D4">
        <w:t xml:space="preserve"> </w:t>
      </w:r>
      <w:r w:rsidRPr="007D05D4">
        <w:t>their</w:t>
      </w:r>
      <w:r w:rsidR="00300940" w:rsidRPr="007D05D4">
        <w:t xml:space="preserve"> </w:t>
      </w:r>
      <w:r w:rsidRPr="007D05D4">
        <w:t>significant</w:t>
      </w:r>
      <w:r w:rsidR="00300940" w:rsidRPr="007D05D4">
        <w:t xml:space="preserve"> toxicity and recalcitrance, </w:t>
      </w:r>
      <w:r w:rsidRPr="007D05D4">
        <w:t xml:space="preserve">these compounds </w:t>
      </w:r>
      <w:r w:rsidR="0099008D" w:rsidRPr="007D05D4">
        <w:t xml:space="preserve">pose </w:t>
      </w:r>
      <w:r w:rsidRPr="007D05D4">
        <w:t>critical</w:t>
      </w:r>
      <w:r w:rsidR="0099008D" w:rsidRPr="007D05D4">
        <w:t xml:space="preserve"> </w:t>
      </w:r>
      <w:r w:rsidRPr="007D05D4">
        <w:t>risks to</w:t>
      </w:r>
      <w:r w:rsidRPr="00200DF0">
        <w:t xml:space="preserve"> human health and the </w:t>
      </w:r>
      <w:r w:rsidR="006872DC">
        <w:t>environment</w:t>
      </w:r>
      <w:r w:rsidR="0099008D" w:rsidRPr="00200DF0">
        <w:t xml:space="preserve"> </w:t>
      </w:r>
      <w:r w:rsidR="0099008D" w:rsidRPr="00200DF0">
        <w:fldChar w:fldCharType="begin" w:fldLock="1"/>
      </w:r>
      <w:r w:rsidR="0099008D" w:rsidRPr="00200DF0">
        <w:instrText>ADDIN CSL_CITATION {"citationItems":[{"id":"ITEM-1","itemData":{"DOI":"10.1016/j.scitotenv.2017.06.193","ISSN":"00489697","abstract":"The present study describes a pilot remediation test of a co-mingled plume containing BTEX, chlorinated pollutants and pharmaceuticals. Remediation was attempted using a combination of various approaches, including a pump and treat system applying an advanced oxidation process and targeted direct push injections of calcium peroxide. The remediation process was monitored intensively and extensively throughout the pilot test using various conventional and passive sampling methods, including next-generation amplicon sequencing. The results showed that the injection of oxygen-saturated treated water with residual hydrogen peroxide and elevated temperature enhanced the in situ removal of monoaromatics and chlorinated pollutants. In particular, in combination with the injection of calcium peroxide, the conditions facilitated the in situ bacterial biodegradation of the pollutants. The mean groundwater concentration of benzene decreased from 1349μg·L−1 prior to the test to 3μg·L−1 within 3months after the calcium peroxide injections; additionally, monochlorobenzene decreased from 1545μg·L−1 to 36μg·L−1, and toluene decreased from 143μg·L−1 to 2μg·L−1. Furthermore, significant degradation of the contaminants bound to the soil matrix in less permeable zones was observed. Based on a developed 3D model, 90% of toluene and 88% of chlorobenzene bound to the soil were removed during the pilot test, and benzene was removed almost completely. On the other hand, the psychopharmaceuticals were effectively removed by the employed advanced oxidation process only from the treated water, and their concentration in groundwater remained stagnant due to inflow from the surroundings and their absence of in situ degradation. The employment of passive sampling techniques, including passive diffusion bags (PDB) for volatile organic pollutants and their respective transformation products, polar organic compound integrative samplers (POCIS) for the pharmaceuticals and in situ soil microcosms for microbial community analysis, was proven to be suitable for monitoring remediation in saturated zones.","author":[{"dropping-particle":"","family":"Lhotský","given":"Ondřej","non-dropping-particle":"","parse-names":false,"suffix":""},{"dropping-particle":"","family":"Krákorová","given":"Eva","non-dropping-particle":"","parse-names":false,"suffix":""},{"dropping-particle":"","family":"Linhartová","given":"Lucie","non-dropping-particle":"","parse-names":false,"suffix":""},{"dropping-particle":"","family":"Křesinová","given":"Zdena","non-dropping-particle":"","parse-names":false,"suffix":""},{"dropping-particle":"","family":"Steinová","given":"Jana","non-dropping-particle":"","parse-names":false,"suffix":""},{"dropping-particle":"","family":"Dvořák","given":"Lukáš","non-dropping-particle":"","parse-names":false,"suffix":""},{"dropping-particle":"","family":"Rodsand","given":"Torgeir","non-dropping-particle":"","parse-names":false,"suffix":""},{"dropping-particle":"","family":"Filipová","given":"Alena","non-dropping-particle":"","parse-names":false,"suffix":""},{"dropping-particle":"","family":"Kroupová","given":"Kristýna","non-dropping-particle":"","parse-names":false,"suffix":""},{"dropping-particle":"","family":"Wimmerová","given":"Lenka","non-dropping-particle":"","parse-names":false,"suffix":""},{"dropping-particle":"","family":"Kukačka","given":"Jan","non-dropping-particle":"","parse-names":false,"suffix":""},{"dropping-particle":"","family":"Cajthaml","given":"Tomáš","non-dropping-particle":"","parse-names":false,"suffix":""}],"container-title":"Science of The Total Environment","id":"ITEM-1","issued":{"date-parts":[["2017","12"]]},"page":"1451-1465","title":"Assessment of biodegradation potential at a site contaminated by a mixture of BTEX, chlorinated pollutants and pharmaceuticals using passive sampling methods – Case study","type":"article-journal","volume":"607-608"},"uris":["http://www.mendeley.com/documents/?uuid=b73cc066-4f9f-4a1e-9273-524de792cc16","http://www.mendeley.com/documents/?uuid=da53b067-c6c1-48c5-aa3a-65ca4aaea2c8"]}],"mendeley":{"formattedCitation":"(Lhotský et al., 2017)","plainTextFormattedCitation":"(Lhotský et al., 2017)","previouslyFormattedCitation":"(Lhotský et al., 2017)"},"properties":{"noteIndex":0},"schema":"https://github.com/citation-style-language/schema/raw/master/csl-citation.json"}</w:instrText>
      </w:r>
      <w:r w:rsidR="0099008D" w:rsidRPr="00200DF0">
        <w:fldChar w:fldCharType="separate"/>
      </w:r>
      <w:r w:rsidR="0099008D" w:rsidRPr="00200DF0">
        <w:rPr>
          <w:noProof/>
        </w:rPr>
        <w:t>(Lhotský et al., 2017)</w:t>
      </w:r>
      <w:r w:rsidR="0099008D" w:rsidRPr="00200DF0">
        <w:fldChar w:fldCharType="end"/>
      </w:r>
      <w:r w:rsidR="0099008D" w:rsidRPr="0099008D">
        <w:rPr>
          <w:color w:val="4F81BD" w:themeColor="accent1"/>
        </w:rPr>
        <w:t xml:space="preserve">. </w:t>
      </w:r>
    </w:p>
    <w:p w14:paraId="1A3F7B7A" w14:textId="72A9763A" w:rsidR="004C0633" w:rsidRDefault="007B20E1" w:rsidP="009A3518">
      <w:pPr>
        <w:contextualSpacing/>
        <w:rPr>
          <w:color w:val="4F81BD" w:themeColor="accent1"/>
        </w:rPr>
      </w:pPr>
      <w:r w:rsidRPr="007B20E1">
        <w:lastRenderedPageBreak/>
        <w:t xml:space="preserve">Bioremediation is deemed </w:t>
      </w:r>
      <w:r w:rsidR="006872DC">
        <w:t xml:space="preserve">to be </w:t>
      </w:r>
      <w:r w:rsidRPr="007B20E1">
        <w:t xml:space="preserve">an effective strategy for the </w:t>
      </w:r>
      <w:r w:rsidR="006872DC" w:rsidRPr="007B20E1">
        <w:t>clean-up</w:t>
      </w:r>
      <w:r w:rsidRPr="007B20E1">
        <w:t xml:space="preserve"> of contaminated sites </w:t>
      </w:r>
      <w:r w:rsidRPr="007B20E1">
        <w:fldChar w:fldCharType="begin" w:fldLock="1"/>
      </w:r>
      <w:r w:rsidRPr="007B20E1">
        <w:instrText>ADDIN CSL_CITATION {"citationItems":[{"id":"ITEM-1","itemData":{"DOI":"10.1016/j.ecoenv.2020.110929","ISSN":"01476513","abstract":"The aim of this study was to investigate the bioremediation potential of polychlorinated biphenyls (PCBs) in soil, mimicking three strategies: (a) mycoaugmentation: by the addition of Trametes sanguinea and Pleurotus sajor-caju co-cultures immobilized on sugarcane bagasse; (b) biostimulation: by supplementation of sugarcane bagasse; and (c) natural attenuation: no amendments. The experiments were done in microcosms using Ultisol soil. Remediation effectiveness was assessed based on pollutants content, soil characteristics, and ecotoxicological tests. Biostimulation and mycoaugmentation demonstrated the highest PCBs-removal (approx. 90%) with a significant toxicity reduction at 90 d. The studied strains were able to survive during the incubation period in non-sterilized soil. Laccase, manganese-peroxidase and endoxylanase activities increased significantly in co-cultures after 60 d. Sugarcane bagasse demonstrated to be not only a suitable support for fungal immobilization but also an efficient substrate for fungal colonization of PCBs-contaminated soils. Mycoaugmentation and biostimulation with sugarcane bagasse improved oxidable organic matter and phosphorous contents as well as dehydrogenase activity in soil. Therefore, biostimulation with sugarcane bagasse and mycoaugmentation applying dual white-rot fungal cultures constitute two efficient bioremediation alternatives to restore PCBs-contaminated soils.","author":[{"dropping-particle":"","family":"Sadañoski","given":"Marcela Alejandra","non-dropping-particle":"","parse-names":false,"suffix":""},{"dropping-particle":"","family":"Tatarin","given":"Ana Silvia","non-dropping-particle":"","parse-names":false,"suffix":""},{"dropping-particle":"","family":"Barchuk","given":"Mónica Lucrecia","non-dropping-particle":"","parse-names":false,"suffix":""},{"dropping-particle":"","family":"Gonzalez","given":"Mariana","non-dropping-particle":"","parse-names":false,"suffix":""},{"dropping-particle":"","family":"Pegoraro","given":"César Nicolás","non-dropping-particle":"","parse-names":false,"suffix":""},{"dropping-particle":"","family":"Fonseca","given":"María Isabel","non-dropping-particle":"","parse-names":false,"suffix":""},{"dropping-particle":"","family":"Levin","given":"Laura Noemí","non-dropping-particle":"","parse-names":false,"suffix":""},{"dropping-particle":"","family":"Villalba","given":"Laura Lidia","non-dropping-particle":"","parse-names":false,"suffix":""}],"container-title":"Ecotoxicology and Environmental Safety","id":"ITEM-1","issued":{"date-parts":[["2020","10"]]},"page":"110929","title":"Evaluation of bioremediation strategies for treating recalcitrant halo-organic pollutants in soil environments","type":"article-journal","volume":"202"},"uris":["http://www.mendeley.com/documents/?uuid=c1872ef6-19c5-3749-9a8b-b68cba13cd46","http://www.mendeley.com/documents/?uuid=41f8283f-2ef6-4ef5-8c64-dfa2b7ee6766"]}],"mendeley":{"formattedCitation":"(Sadañoski et al., 2020)","plainTextFormattedCitation":"(Sadañoski et al., 2020)","previouslyFormattedCitation":"(Sadañoski et al., 2020)"},"properties":{"noteIndex":0},"schema":"https://github.com/citation-style-language/schema/raw/master/csl-citation.json"}</w:instrText>
      </w:r>
      <w:r w:rsidRPr="007B20E1">
        <w:fldChar w:fldCharType="separate"/>
      </w:r>
      <w:r w:rsidRPr="007B20E1">
        <w:rPr>
          <w:noProof/>
        </w:rPr>
        <w:t>(Sadañoski et al., 2020)</w:t>
      </w:r>
      <w:r w:rsidRPr="007B20E1">
        <w:fldChar w:fldCharType="end"/>
      </w:r>
      <w:r w:rsidRPr="007B20E1">
        <w:t>.</w:t>
      </w:r>
      <w:r w:rsidR="00BC374D">
        <w:t xml:space="preserve"> </w:t>
      </w:r>
      <w:r w:rsidR="006872DC">
        <w:t xml:space="preserve">It </w:t>
      </w:r>
      <w:r w:rsidR="006872DC" w:rsidRPr="00220B6D">
        <w:t>is</w:t>
      </w:r>
      <w:r w:rsidR="00BC374D" w:rsidRPr="00220B6D">
        <w:t xml:space="preserve"> based on the </w:t>
      </w:r>
      <w:r w:rsidR="00220B6D" w:rsidRPr="00220B6D">
        <w:t>modification</w:t>
      </w:r>
      <w:r w:rsidR="00BC374D" w:rsidRPr="00220B6D">
        <w:t xml:space="preserve"> of environmental conditions </w:t>
      </w:r>
      <w:r w:rsidR="007E1377" w:rsidRPr="00220B6D">
        <w:t>like</w:t>
      </w:r>
      <w:r w:rsidR="00BC374D" w:rsidRPr="00220B6D">
        <w:t xml:space="preserve"> the redox potential, and/or the</w:t>
      </w:r>
      <w:r w:rsidR="00220B6D" w:rsidRPr="00220B6D">
        <w:t xml:space="preserve"> subsurface</w:t>
      </w:r>
      <w:r w:rsidR="00BC374D" w:rsidRPr="00220B6D">
        <w:t xml:space="preserve"> </w:t>
      </w:r>
      <w:r w:rsidR="00220B6D" w:rsidRPr="00220B6D">
        <w:t>injection</w:t>
      </w:r>
      <w:r w:rsidR="00BC374D" w:rsidRPr="00220B6D">
        <w:t xml:space="preserve"> of electron donors or acceptors </w:t>
      </w:r>
      <w:r w:rsidR="00BC374D" w:rsidRPr="00220B6D">
        <w:fldChar w:fldCharType="begin" w:fldLock="1"/>
      </w:r>
      <w:r w:rsidR="00BC374D" w:rsidRPr="00220B6D">
        <w:instrText>ADDIN CSL_CITATION {"citationItems":[{"id":"ITEM-1","itemData":{"DOI":"10.1021/acs.est.9b00906","abstract":"© 2020 American Chemical Society. It is a general understanding that unconventional oil is petroleum-extracted and processed into petroleum products using unconventional means. The recent growth in the United States shale oil production and the lack of refineries in Canada built for heavy crude processes have resulted in a significant increase in U.S imports of unconventional oil since 2018. This has increased the risk of incidents and catastrophic emergencies during the transportation of unconventional oils using transmission pipelines and train rails. A great deal of effort has been made to address the remediation of contaminated soil/sediment following the traditional oil spills. However, spill response and cleanup techniques (e.g., oil recuperation, soil-sediment-water treatments) showed slow and inefficient performance when it came to unconventional oil, bringing larger associated environmental impacts in need of investigation. To the best of our knowledge, there is no coherent review available on the biodegradability of unconventional oil, including Dilbit and Bakken oil. Hence, in view of the insufficient information and contrasting results obtained on the remediation of petroleum, this review is an attempt to fill the gap by presenting the collective understanding and critical analysis of the literature on bioremediation of products from the oil sand and shale (e.g., Dilbit and Bakken oil). This can help evaluate the different aspects of hydrocarbon biodegradation and identify the knowledge gaps in the literature.","author":[{"dropping-particle":"","family":"Davoodi","given":"S.M.","non-dropping-particle":"","parse-names":false,"suffix":""},{"dropping-particle":"","family":"Miri","given":"S.","non-dropping-particle":"","parse-names":false,"suffix":""},{"dropping-particle":"","family":"Taheran","given":"M.","non-dropping-particle":"","parse-names":false,"suffix":""},{"dropping-particle":"","family":"Brar","given":"S.K.","non-dropping-particle":"","parse-names":false,"suffix":""},{"dropping-particle":"","family":"Galvez-Cloutier","given":"R.","non-dropping-particle":"","parse-names":false,"suffix":""},{"dropping-particle":"","family":"Martel","given":"R.","non-dropping-particle":"","parse-names":false,"suffix":""}],"container-title":"Environmental Science and Technology","id":"ITEM-1","issue":"4","issued":{"date-parts":[["2020"]]},"page":"2054-2067","title":"Bioremediation of Unconventional Oil Contaminated Ecosystems under Natural and Assisted Conditions: A Review","type":"article-journal","volume":"54"},"uris":["http://www.mendeley.com/documents/?uuid=32972f76-e3e7-3867-938d-4fe60f971bec","http://www.mendeley.com/documents/?uuid=90d12481-72c2-42ab-be81-78d276f5b078"]}],"mendeley":{"formattedCitation":"(Davoodi et al., 2020)","plainTextFormattedCitation":"(Davoodi et al., 2020)","previouslyFormattedCitation":"(Davoodi et al., 2020)"},"properties":{"noteIndex":0},"schema":"https://github.com/citation-style-language/schema/raw/master/csl-citation.json"}</w:instrText>
      </w:r>
      <w:r w:rsidR="00BC374D" w:rsidRPr="00220B6D">
        <w:fldChar w:fldCharType="separate"/>
      </w:r>
      <w:r w:rsidR="00BC374D" w:rsidRPr="00220B6D">
        <w:rPr>
          <w:noProof/>
        </w:rPr>
        <w:t>(Davoodi et al., 2020)</w:t>
      </w:r>
      <w:r w:rsidR="00BC374D" w:rsidRPr="00220B6D">
        <w:fldChar w:fldCharType="end"/>
      </w:r>
      <w:r w:rsidR="00BC374D" w:rsidRPr="00220B6D">
        <w:t xml:space="preserve"> to e</w:t>
      </w:r>
      <w:r w:rsidR="00BC374D" w:rsidRPr="00BC374D">
        <w:t xml:space="preserve">nhance the </w:t>
      </w:r>
      <w:r w:rsidR="00BC374D" w:rsidRPr="007E1377">
        <w:rPr>
          <w:color w:val="000000" w:themeColor="text1"/>
        </w:rPr>
        <w:t>natural</w:t>
      </w:r>
      <w:r w:rsidR="0099008D" w:rsidRPr="007E1377">
        <w:rPr>
          <w:color w:val="000000" w:themeColor="text1"/>
        </w:rPr>
        <w:t xml:space="preserve"> </w:t>
      </w:r>
      <w:r w:rsidR="007E1377" w:rsidRPr="007E1377">
        <w:rPr>
          <w:color w:val="000000" w:themeColor="text1"/>
        </w:rPr>
        <w:t>capability</w:t>
      </w:r>
      <w:r w:rsidR="0099008D" w:rsidRPr="007E1377">
        <w:rPr>
          <w:color w:val="000000" w:themeColor="text1"/>
        </w:rPr>
        <w:t xml:space="preserve"> of microorganisms to </w:t>
      </w:r>
      <w:r w:rsidR="00BC374D" w:rsidRPr="007E1377">
        <w:rPr>
          <w:color w:val="000000" w:themeColor="text1"/>
        </w:rPr>
        <w:t xml:space="preserve">metabolize </w:t>
      </w:r>
      <w:r w:rsidR="006872DC">
        <w:rPr>
          <w:color w:val="000000" w:themeColor="text1"/>
        </w:rPr>
        <w:t>contaminants and to</w:t>
      </w:r>
      <w:r w:rsidR="0099008D" w:rsidRPr="007E1377">
        <w:rPr>
          <w:color w:val="000000" w:themeColor="text1"/>
        </w:rPr>
        <w:t xml:space="preserve"> </w:t>
      </w:r>
      <w:r w:rsidR="006872DC">
        <w:rPr>
          <w:color w:val="000000" w:themeColor="text1"/>
        </w:rPr>
        <w:t>transform</w:t>
      </w:r>
      <w:r w:rsidR="00BC374D" w:rsidRPr="007E1377">
        <w:rPr>
          <w:color w:val="000000" w:themeColor="text1"/>
        </w:rPr>
        <w:t xml:space="preserve"> them into harmless </w:t>
      </w:r>
      <w:r w:rsidR="00D177A2">
        <w:rPr>
          <w:color w:val="000000" w:themeColor="text1"/>
        </w:rPr>
        <w:t xml:space="preserve">or less toxic </w:t>
      </w:r>
      <w:r w:rsidR="00BC374D" w:rsidRPr="007E1377">
        <w:rPr>
          <w:color w:val="000000" w:themeColor="text1"/>
        </w:rPr>
        <w:t>end-products.</w:t>
      </w:r>
    </w:p>
    <w:p w14:paraId="5B5F65E8" w14:textId="02C034D8" w:rsidR="008F3949" w:rsidRPr="00B94C2E" w:rsidRDefault="004C0633" w:rsidP="004C0633">
      <w:pPr>
        <w:contextualSpacing/>
      </w:pPr>
      <w:r w:rsidRPr="004C0633">
        <w:rPr>
          <w:color w:val="000000" w:themeColor="text1"/>
        </w:rPr>
        <w:t>However</w:t>
      </w:r>
      <w:r>
        <w:rPr>
          <w:color w:val="000000" w:themeColor="text1"/>
        </w:rPr>
        <w:t xml:space="preserve">, </w:t>
      </w:r>
      <w:r w:rsidR="006C3FF5" w:rsidRPr="008F3949">
        <w:rPr>
          <w:color w:val="000000" w:themeColor="text1"/>
        </w:rPr>
        <w:t xml:space="preserve">PH and CAH </w:t>
      </w:r>
      <w:r w:rsidR="006C3FF5">
        <w:rPr>
          <w:color w:val="000000" w:themeColor="text1"/>
        </w:rPr>
        <w:t xml:space="preserve">have very different chemical properties, </w:t>
      </w:r>
      <w:r w:rsidR="00D177A2">
        <w:rPr>
          <w:color w:val="000000" w:themeColor="text1"/>
        </w:rPr>
        <w:t>thus</w:t>
      </w:r>
      <w:r w:rsidR="006C3FF5">
        <w:rPr>
          <w:color w:val="000000" w:themeColor="text1"/>
        </w:rPr>
        <w:t xml:space="preserve"> different bioremediation treatments need to be applied. </w:t>
      </w:r>
      <w:r w:rsidR="00D177A2">
        <w:rPr>
          <w:color w:val="000000" w:themeColor="text1"/>
        </w:rPr>
        <w:t xml:space="preserve">The main </w:t>
      </w:r>
      <w:r w:rsidR="00D177A2" w:rsidRPr="00F22849">
        <w:rPr>
          <w:color w:val="000000" w:themeColor="text1"/>
        </w:rPr>
        <w:t>limiting</w:t>
      </w:r>
      <w:r w:rsidR="00D177A2">
        <w:rPr>
          <w:color w:val="000000" w:themeColor="text1"/>
        </w:rPr>
        <w:t xml:space="preserve"> factor for PHs oxidation</w:t>
      </w:r>
      <w:r w:rsidR="00690C2B">
        <w:rPr>
          <w:color w:val="000000" w:themeColor="text1"/>
        </w:rPr>
        <w:t xml:space="preserve"> in subsurface environments</w:t>
      </w:r>
      <w:r w:rsidR="00D177A2">
        <w:rPr>
          <w:color w:val="000000" w:themeColor="text1"/>
        </w:rPr>
        <w:t xml:space="preserve"> is </w:t>
      </w:r>
      <w:r w:rsidR="00D177A2" w:rsidRPr="00F22849">
        <w:rPr>
          <w:color w:val="000000" w:themeColor="text1"/>
        </w:rPr>
        <w:t>usually</w:t>
      </w:r>
      <w:r w:rsidR="00D177A2">
        <w:rPr>
          <w:color w:val="000000" w:themeColor="text1"/>
        </w:rPr>
        <w:t xml:space="preserve"> t</w:t>
      </w:r>
      <w:r w:rsidR="00877BC9">
        <w:rPr>
          <w:color w:val="000000" w:themeColor="text1"/>
        </w:rPr>
        <w:t>he lack o</w:t>
      </w:r>
      <w:r w:rsidR="00D177A2">
        <w:rPr>
          <w:color w:val="000000" w:themeColor="text1"/>
        </w:rPr>
        <w:t>f electron acceptors</w:t>
      </w:r>
      <w:r w:rsidR="00F22849" w:rsidRPr="00F22849">
        <w:rPr>
          <w:color w:val="000000" w:themeColor="text1"/>
        </w:rPr>
        <w:t xml:space="preserve">, </w:t>
      </w:r>
      <w:r w:rsidR="00D177A2">
        <w:rPr>
          <w:color w:val="000000" w:themeColor="text1"/>
        </w:rPr>
        <w:t>which</w:t>
      </w:r>
      <w:r w:rsidR="00F22849" w:rsidRPr="00F22849">
        <w:rPr>
          <w:color w:val="000000" w:themeColor="text1"/>
        </w:rPr>
        <w:t xml:space="preserve"> </w:t>
      </w:r>
      <w:r w:rsidR="006C3FF5">
        <w:rPr>
          <w:color w:val="000000" w:themeColor="text1"/>
        </w:rPr>
        <w:t>needs to</w:t>
      </w:r>
      <w:r w:rsidR="00F22849" w:rsidRPr="00F22849">
        <w:rPr>
          <w:color w:val="000000" w:themeColor="text1"/>
        </w:rPr>
        <w:t xml:space="preserve"> be</w:t>
      </w:r>
      <w:r w:rsidR="00877BC9">
        <w:rPr>
          <w:color w:val="000000" w:themeColor="text1"/>
        </w:rPr>
        <w:t xml:space="preserve"> artificially</w:t>
      </w:r>
      <w:r w:rsidR="00F22849" w:rsidRPr="00F22849">
        <w:rPr>
          <w:color w:val="000000" w:themeColor="text1"/>
        </w:rPr>
        <w:t xml:space="preserve"> provided</w:t>
      </w:r>
      <w:r w:rsidR="006C3FF5">
        <w:rPr>
          <w:color w:val="000000" w:themeColor="text1"/>
        </w:rPr>
        <w:t xml:space="preserve"> usually</w:t>
      </w:r>
      <w:r w:rsidR="00F22849" w:rsidRPr="00F22849">
        <w:rPr>
          <w:color w:val="000000" w:themeColor="text1"/>
        </w:rPr>
        <w:t xml:space="preserve"> in the form of oxygen, nitrate or sulfate</w:t>
      </w:r>
      <w:r w:rsidR="00690C2B">
        <w:rPr>
          <w:color w:val="000000" w:themeColor="text1"/>
        </w:rPr>
        <w:t xml:space="preserve"> </w:t>
      </w:r>
      <w:r w:rsidR="00690C2B">
        <w:rPr>
          <w:color w:val="000000" w:themeColor="text1"/>
        </w:rPr>
        <w:fldChar w:fldCharType="begin" w:fldLock="1"/>
      </w:r>
      <w:r w:rsidR="00690C2B">
        <w:rPr>
          <w:color w:val="000000" w:themeColor="text1"/>
        </w:rPr>
        <w:instrText>ADDIN CSL_CITATION {"citationItems":[{"id":"ITEM-1","itemData":{"DOI":"10.1016/j.eti.2019.100526","ISSN":"23521864","abstract":"The global use of petroleum hydrocarbons for energy and raw materials in various applications has increased with extensive release of a wide variety of contaminants into the environment, affecting soil, surface water and groundwater. The effect results to numerous health, ecological and environmental issues. However, treatment of contamination and pollution caused by petroleum hydrocarbons is a huge and laborious work. It involves several in situ or ex situ treatments comprising containment, separation and destruction which include biological, chemical, physico-chemical, thermal and heat, electric and electromagnetic, acoustic and ultrasonic treatment methods. These treatment methods involve several other techniques and strategies as listed in this review. The health risks pose by petroleum hydrocarbon pollution have driven scientists to research, develop and implement risk-based remediation strategies for restoration and reclamation of affected environments. To select the best treatment option for remediation, it is important to comprehend the nature, composition, properties, sources of pollution, type of environment, fate, transport and distribution of the pollutants, mechanism of degradation, interaction and relationships with microorganisms, the intrinsic and extrinsic factors affecting remediation. It helps to evaluate and predict the chemical behaviour of the pollutants with the short and long-term effects and mitigate the effects of pollution and limit exposure to the pollutants. Despite the available remediation options for petroleum hydrocarbon management and removal, sufficient and complete remediation can be implemented by adoption of proper approach derived from risk-based management procedure that can be practical, scientifically defensible, widely adapted, sustainable, non-invasive, eco-friendly and cost-efficient. This paper provides an overview of the various remediation and treatment technologies derived from risk-based approaches that are used for isolation, containment, separation, restoration reclamation and remediation of soil, sediments, surface water and groundwater contaminated by petroleum hydrocarbons and organic compounds.","author":[{"dropping-particle":"","family":"Ossai","given":"Innocent Chukwunonso","non-dropping-particle":"","parse-names":false,"suffix":""},{"dropping-particle":"","family":"Ahmed","given":"Aziz","non-dropping-particle":"","parse-names":false,"suffix":""},{"dropping-particle":"","family":"Hassan","given":"Auwalu","non-dropping-particle":"","parse-names":false,"suffix":""},{"dropping-particle":"","family":"Hamid","given":"Fauziah Shahul","non-dropping-particle":"","parse-names":false,"suffix":""}],"container-title":"Environmental Technology and Innovation","id":"ITEM-1","issued":{"date-parts":[["2020"]]},"page":"100526","publisher":"Elsevier B.V.","title":"Remediation of soil and water contaminated with petroleum hydrocarbon: A review","type":"article-journal","volume":"17"},"uris":["http://www.mendeley.com/documents/?uuid=40eaf312-8442-4dbc-b645-902d85043c4f"]}],"mendeley":{"formattedCitation":"(Ossai et al., 2020)","plainTextFormattedCitation":"(Ossai et al., 2020)"},"properties":{"noteIndex":0},"schema":"https://github.com/citation-style-language/schema/raw/master/csl-citation.json"}</w:instrText>
      </w:r>
      <w:r w:rsidR="00690C2B">
        <w:rPr>
          <w:color w:val="000000" w:themeColor="text1"/>
        </w:rPr>
        <w:fldChar w:fldCharType="separate"/>
      </w:r>
      <w:r w:rsidR="00690C2B" w:rsidRPr="00690C2B">
        <w:rPr>
          <w:noProof/>
          <w:color w:val="000000" w:themeColor="text1"/>
        </w:rPr>
        <w:t>(Ossai et al., 2020)</w:t>
      </w:r>
      <w:r w:rsidR="00690C2B">
        <w:rPr>
          <w:color w:val="000000" w:themeColor="text1"/>
        </w:rPr>
        <w:fldChar w:fldCharType="end"/>
      </w:r>
      <w:r w:rsidR="006C3FF5">
        <w:rPr>
          <w:color w:val="000000" w:themeColor="text1"/>
        </w:rPr>
        <w:t>. On the other hand,</w:t>
      </w:r>
      <w:r w:rsidR="00F22849" w:rsidRPr="0092222E">
        <w:t xml:space="preserve"> CAH are preferably biod</w:t>
      </w:r>
      <w:r w:rsidR="0092222E" w:rsidRPr="0092222E">
        <w:t>egraded via a reductive pathway</w:t>
      </w:r>
      <w:r w:rsidR="00F22849" w:rsidRPr="0092222E">
        <w:t xml:space="preserve"> (</w:t>
      </w:r>
      <w:r w:rsidR="00F22849" w:rsidRPr="0092222E">
        <w:rPr>
          <w:i/>
        </w:rPr>
        <w:t>i.e.</w:t>
      </w:r>
      <w:r w:rsidR="00F22849" w:rsidRPr="0092222E">
        <w:t xml:space="preserve"> reductive dechlorination,</w:t>
      </w:r>
      <w:r w:rsidR="0092222E" w:rsidRPr="0092222E">
        <w:t xml:space="preserve"> or</w:t>
      </w:r>
      <w:r w:rsidR="00F22849" w:rsidRPr="0092222E">
        <w:t xml:space="preserve"> RD)</w:t>
      </w:r>
      <w:r w:rsidR="0092222E" w:rsidRPr="0092222E">
        <w:t>,</w:t>
      </w:r>
      <w:r w:rsidR="00F22849" w:rsidRPr="0092222E">
        <w:t xml:space="preserve"> </w:t>
      </w:r>
      <w:r w:rsidR="00D177A2">
        <w:t>hence</w:t>
      </w:r>
      <w:r w:rsidR="0092222E" w:rsidRPr="0092222E">
        <w:t xml:space="preserve"> an electron d</w:t>
      </w:r>
      <w:r w:rsidR="0092222E" w:rsidRPr="008E6369">
        <w:t>onor (</w:t>
      </w:r>
      <w:r w:rsidR="00670AB8" w:rsidRPr="00670AB8">
        <w:rPr>
          <w:i/>
        </w:rPr>
        <w:t>e.g.</w:t>
      </w:r>
      <w:r w:rsidR="0092222E" w:rsidRPr="00670AB8">
        <w:rPr>
          <w:i/>
        </w:rPr>
        <w:t>,</w:t>
      </w:r>
      <w:r w:rsidR="0092222E" w:rsidRPr="008E6369">
        <w:t xml:space="preserve"> H</w:t>
      </w:r>
      <w:r w:rsidR="0092222E" w:rsidRPr="008E6369">
        <w:rPr>
          <w:vertAlign w:val="subscript"/>
        </w:rPr>
        <w:t>2</w:t>
      </w:r>
      <w:r w:rsidR="0092222E" w:rsidRPr="008E6369">
        <w:t xml:space="preserve"> or H</w:t>
      </w:r>
      <w:r w:rsidR="0092222E" w:rsidRPr="008E6369">
        <w:rPr>
          <w:vertAlign w:val="subscript"/>
        </w:rPr>
        <w:t>2</w:t>
      </w:r>
      <w:r w:rsidR="0092222E" w:rsidRPr="008E6369">
        <w:t xml:space="preserve">–releasing fermentable substrates) </w:t>
      </w:r>
      <w:r w:rsidR="00D177A2">
        <w:t>can be</w:t>
      </w:r>
      <w:r w:rsidR="0092222E" w:rsidRPr="0092222E">
        <w:t xml:space="preserve"> supplied to enhance </w:t>
      </w:r>
      <w:r w:rsidR="00F22849" w:rsidRPr="0092222E">
        <w:t xml:space="preserve">the metabolism of </w:t>
      </w:r>
      <w:r w:rsidR="0092222E" w:rsidRPr="0092222E">
        <w:t>the</w:t>
      </w:r>
      <w:r w:rsidR="00DD1BC4">
        <w:t xml:space="preserve"> so-called</w:t>
      </w:r>
      <w:r w:rsidR="00F22849" w:rsidRPr="0092222E">
        <w:t xml:space="preserve"> organohalide-respiring bacteria (</w:t>
      </w:r>
      <w:r w:rsidR="00F22849" w:rsidRPr="00B94C2E">
        <w:t xml:space="preserve">OHRB) </w:t>
      </w:r>
      <w:r w:rsidR="00F22849" w:rsidRPr="00B94C2E">
        <w:fldChar w:fldCharType="begin" w:fldLock="1"/>
      </w:r>
      <w:r w:rsidR="00F22849" w:rsidRPr="00B94C2E">
        <w:instrText>ADDIN CSL_CITATION {"citationItems":[{"id":"ITEM-1","itemData":{"DOI":"10.1007/978-3-662-49875-0_5","ISBN":"9783662498750","abstract":"To date, organohalide respiration (OHR) has been restricted to the bacterial domain of life. Known organohalide-respiring bacteria (OHRB) are spread among several phyla comprising both Gram-positive and Gram-negative bacteria. As a unique trait, OHRB benefit from reductive dehalogenase enzymes enabling them to use different organohalides as terminal electron acceptors and occupy a wide range of terrestrial and aquatic environments. This chapter comprises three sections: First, we give an overview of phylogeny of known OHRB and briefly discuss physiological and genetic characteristics of each group. Second, the environmental distribution of OHRB is presented. Owing to the application of molecular diagnostic approaches, OHRB are being increasingly detected not only from organohalide-contaminated groundwaters and sediments but also from pristine environments, including deep oceanic sediments and soils that are ample sources of naturally occurring organohalides. Finally, we highlight important factors that impact the ecology of OHRB and their interaction with other microbial guilds.","author":[{"dropping-particle":"","family":"Atashgahi","given":"Siavash","non-dropping-particle":"","parse-names":false,"suffix":""},{"dropping-particle":"","family":"Lu","given":"Yue","non-dropping-particle":"","parse-names":false,"suffix":""},{"dropping-particle":"","family":"Smidt","given":"Hauke","non-dropping-particle":"","parse-names":false,"suffix":""}],"container-title":"Organohalide-Respiring Bacteria","id":"ITEM-1","issued":{"date-parts":[["2016"]]},"page":"63-105","publisher":"Springer Berlin Heidelberg","publisher-place":"Berlin, Heidelberg","title":"Overview of Known Organohalide-Respiring Bacteria—Phylogenetic Diversity and Environmental Distribution","type":"chapter"},"uris":["http://www.mendeley.com/documents/?uuid=5a3879be-5c39-3737-825b-4b6a0ee4f2b2","http://www.mendeley.com/documents/?uuid=ff70ba73-c165-458f-8c5f-f7b80c5fc653"]}],"mendeley":{"formattedCitation":"(Atashgahi et al., 2016)","plainTextFormattedCitation":"(Atashgahi et al., 2016)","previouslyFormattedCitation":"(Atashgahi et al., 2016)"},"properties":{"noteIndex":0},"schema":"https://github.com/citation-style-language/schema/raw/master/csl-citation.json"}</w:instrText>
      </w:r>
      <w:r w:rsidR="00F22849" w:rsidRPr="00B94C2E">
        <w:fldChar w:fldCharType="separate"/>
      </w:r>
      <w:r w:rsidR="00F22849" w:rsidRPr="00B94C2E">
        <w:rPr>
          <w:noProof/>
        </w:rPr>
        <w:t>(Atashgahi et al., 2016)</w:t>
      </w:r>
      <w:r w:rsidR="00F22849" w:rsidRPr="00B94C2E">
        <w:fldChar w:fldCharType="end"/>
      </w:r>
      <w:r w:rsidR="008E6369" w:rsidRPr="00B94C2E">
        <w:t>.</w:t>
      </w:r>
    </w:p>
    <w:p w14:paraId="25710715" w14:textId="6333AAC1" w:rsidR="0099008D" w:rsidRPr="002C0761" w:rsidRDefault="0092222E" w:rsidP="009A3518">
      <w:r>
        <w:rPr>
          <w:color w:val="000000" w:themeColor="text1"/>
        </w:rPr>
        <w:t>For this reason</w:t>
      </w:r>
      <w:r w:rsidR="00F22849">
        <w:rPr>
          <w:color w:val="000000" w:themeColor="text1"/>
        </w:rPr>
        <w:t xml:space="preserve">, when PH and CAH are </w:t>
      </w:r>
      <w:r w:rsidR="004C0633" w:rsidRPr="008F3949">
        <w:rPr>
          <w:color w:val="000000" w:themeColor="text1"/>
        </w:rPr>
        <w:t>both present in a contaminated site</w:t>
      </w:r>
      <w:r w:rsidR="008E6369">
        <w:rPr>
          <w:color w:val="000000" w:themeColor="text1"/>
        </w:rPr>
        <w:t xml:space="preserve">, </w:t>
      </w:r>
      <w:r w:rsidR="007E6DFA">
        <w:rPr>
          <w:color w:val="000000" w:themeColor="text1"/>
        </w:rPr>
        <w:t xml:space="preserve">a combined strategy needs to be implemented. </w:t>
      </w:r>
      <w:r w:rsidR="007E6DFA" w:rsidRPr="000F7A54">
        <w:t xml:space="preserve">Nevertheless, </w:t>
      </w:r>
      <w:r w:rsidR="0099008D" w:rsidRPr="000F7A54">
        <w:t xml:space="preserve">to </w:t>
      </w:r>
      <w:r w:rsidR="000F7A54" w:rsidRPr="000F7A54">
        <w:t>avoid</w:t>
      </w:r>
      <w:r w:rsidR="0099008D" w:rsidRPr="000F7A54">
        <w:t xml:space="preserve"> competitive reactions which may </w:t>
      </w:r>
      <w:r w:rsidR="000F7A54" w:rsidRPr="000F7A54">
        <w:t>hinder</w:t>
      </w:r>
      <w:r w:rsidR="0099008D" w:rsidRPr="000F7A54">
        <w:t xml:space="preserve"> the rate and efficiency of the bioremediation </w:t>
      </w:r>
      <w:r w:rsidR="0099008D" w:rsidRPr="002C0761">
        <w:t>process, electron acceptor</w:t>
      </w:r>
      <w:r w:rsidR="00D177A2">
        <w:t>s</w:t>
      </w:r>
      <w:r w:rsidR="0099008D" w:rsidRPr="002C0761">
        <w:t xml:space="preserve"> (</w:t>
      </w:r>
      <w:r w:rsidR="000F7A54" w:rsidRPr="002C0761">
        <w:t xml:space="preserve">for PH </w:t>
      </w:r>
      <w:r w:rsidR="0099008D" w:rsidRPr="002C0761">
        <w:t>oxidation) and electron donor</w:t>
      </w:r>
      <w:r w:rsidR="00D177A2">
        <w:t>s</w:t>
      </w:r>
      <w:r w:rsidR="0099008D" w:rsidRPr="002C0761">
        <w:t xml:space="preserve"> (</w:t>
      </w:r>
      <w:r w:rsidR="000F7A54" w:rsidRPr="002C0761">
        <w:t>for CAH reductive dechlorination</w:t>
      </w:r>
      <w:r w:rsidR="0099008D" w:rsidRPr="002C0761">
        <w:t xml:space="preserve">) </w:t>
      </w:r>
      <w:r w:rsidR="002C0761">
        <w:t>should</w:t>
      </w:r>
      <w:r w:rsidR="0099008D" w:rsidRPr="002C0761">
        <w:t xml:space="preserve"> be </w:t>
      </w:r>
      <w:r w:rsidR="000F7A54" w:rsidRPr="002C0761">
        <w:t>delivered</w:t>
      </w:r>
      <w:r w:rsidR="0099008D" w:rsidRPr="002C0761">
        <w:t xml:space="preserve"> separa</w:t>
      </w:r>
      <w:r w:rsidR="002C0761">
        <w:t>tely</w:t>
      </w:r>
      <w:r w:rsidR="002C0761" w:rsidRPr="00B94C2E">
        <w:t>,</w:t>
      </w:r>
      <w:r w:rsidR="000F7A54" w:rsidRPr="00B94C2E">
        <w:t xml:space="preserve"> </w:t>
      </w:r>
      <w:r w:rsidR="002C0761" w:rsidRPr="00B94C2E">
        <w:t xml:space="preserve">thus complicating </w:t>
      </w:r>
      <w:r w:rsidR="000F7A54" w:rsidRPr="00B94C2E">
        <w:t>design</w:t>
      </w:r>
      <w:r w:rsidR="002C0761" w:rsidRPr="00B94C2E">
        <w:t xml:space="preserve"> </w:t>
      </w:r>
      <w:r w:rsidR="002C0761" w:rsidRPr="002C0761">
        <w:t>and</w:t>
      </w:r>
      <w:r w:rsidR="000F7A54" w:rsidRPr="002C0761">
        <w:t xml:space="preserve"> </w:t>
      </w:r>
      <w:r w:rsidR="002C0761" w:rsidRPr="002C0761">
        <w:t xml:space="preserve">implementation </w:t>
      </w:r>
      <w:r w:rsidR="000F7A54" w:rsidRPr="002C0761">
        <w:t>of the bioremediation process</w:t>
      </w:r>
      <w:r w:rsidR="0099008D" w:rsidRPr="002C0761">
        <w:t>.</w:t>
      </w:r>
    </w:p>
    <w:p w14:paraId="7C297D0D" w14:textId="1853885A" w:rsidR="0099008D" w:rsidRPr="0099008D" w:rsidRDefault="0099008D" w:rsidP="009A3518">
      <w:pPr>
        <w:rPr>
          <w:color w:val="4F81BD" w:themeColor="accent1"/>
        </w:rPr>
      </w:pPr>
      <w:r w:rsidRPr="00D96398">
        <w:t xml:space="preserve">In </w:t>
      </w:r>
      <w:r w:rsidRPr="00E91E77">
        <w:t xml:space="preserve">principle, PH </w:t>
      </w:r>
      <w:r w:rsidR="00D96398" w:rsidRPr="00E91E77">
        <w:t>could provide themselves the reducing power needed to drive</w:t>
      </w:r>
      <w:r w:rsidRPr="00E91E77">
        <w:t xml:space="preserve"> the RD of CAH, </w:t>
      </w:r>
      <w:r w:rsidR="00D96398" w:rsidRPr="00E91E77">
        <w:t>but the</w:t>
      </w:r>
      <w:r w:rsidRPr="00E91E77">
        <w:t xml:space="preserve"> majority of OHRB </w:t>
      </w:r>
      <w:r w:rsidR="00D96398" w:rsidRPr="00E91E77">
        <w:t xml:space="preserve">can use </w:t>
      </w:r>
      <w:r w:rsidR="00E91E77" w:rsidRPr="00E91E77">
        <w:t xml:space="preserve">exclusively </w:t>
      </w:r>
      <w:r w:rsidRPr="00E91E77">
        <w:t>H</w:t>
      </w:r>
      <w:r w:rsidRPr="00E91E77">
        <w:rPr>
          <w:vertAlign w:val="subscript"/>
        </w:rPr>
        <w:t>2</w:t>
      </w:r>
      <w:r w:rsidRPr="00E91E77">
        <w:t xml:space="preserve"> as electron donor </w:t>
      </w:r>
      <w:r w:rsidRPr="00E91E77">
        <w:fldChar w:fldCharType="begin" w:fldLock="1"/>
      </w:r>
      <w:r w:rsidRPr="00E91E77">
        <w:instrText>ADDIN CSL_CITATION {"citationItems":[{"id":"ITEM-1","itemData":{"DOI":"10.1099/ijs.0.034926-0","ISSN":"14665026","abstract":"Six obligately anaerobic bacterial isolates (195T, CBDB1, BAV1, VS, FL2 and GT) with strictly organohalide-respiring metabolisms were obtained from chlorinated solvent-contaminated aquifers, contaminated and uncontaminated river sediments or anoxic digester sludge. Cells were non-motile with a disc-shaped morphology, 0.3-1 mm in diameter and 0.1-0.2 mm thick, and characteristic indentations on opposite flat sides of the cell. Growth occurred in completely synthetic, reduced medium amended with a haloorganic electron acceptor (mostly chlorinated but also some brominated compounds), hydrogen as electron donor, acetate as carbon source, and vitamins. No other growth-supporting redox couples were identified. Aqueous hydrogen consumption threshold concentrations were,1 nM. Growth ceased when vitamin B12 was omitted from the medium. Addition of sterile cell-free supernatant of Dehalococcoides-containing enrichment cultures enhanced dechlorination and growth of strains 195 and FL2, suggesting the existence of so-far unidentified stimulants. Dechlorination occurred between pH 6.5 and 8.0 and over a temperature range of 15-35 6C, with an optimum growth temperature between 25 and 306C. The major phospholipid fatty acids were 14: 0 (15.7 mol%), br15: 0 (6.2 mol%), 16: 0 (22.7 mol%), 10-methyl 16: 0 (25.8 mol%) and 18: 0 (16.6 mol%). Unusual furan fatty acids including 9-(5-pentyl-2-furyl)-nonanoate and 8-(5-hexyl-2-furyl)-octanoate were detected in strains FL2, BAV1 and GT, but not in strains 195T and CBDB1. The 16S rRNA gene sequences of the six isolates shared more than 98% identity, and phylogenetic analysis revealed an affiliation with the phylum Chloroflexi and more than 10% sequence divergence from other described isolates. The genome sizes and G+C contents ranged from 1.34 to 1.47 Mbp and 47 to 48.9 mol% G+C, respectively. Based on 16S rRNA gene sequence comparisons, genome-wide average nucleotide identity and phenotypic characteristics, the organohalide-respiring isolates represent a new genus and species, for which the name Dehalococcoides mccartyi gen. nov., sp. nov. is proposed. Isolates BAV1 (5ATCC BAA-2100 5JCM 16839 5KCTC 5957), FL2 (5ATCC BAA-2098 5DSM 23585 5JCM 16840 5KCTC 5959), GT (5ATCC BAA-2099 5JCM 16841 5KCTC 5958), CBDB1, 195T (5ATCC BAA-2266T 5KCTC 15142T) and VS are considered strains of Dehalococcoides mccartyi, with strain 195T as the type strain. The new class Dehalococcoidia classis nov., order Dehalococcoidales ord. nov. and family D…","author":[{"dropping-particle":"","family":"Löffler","given":"Frank E.","non-dropping-particle":"","parse-names":false,"suffix":""},{"dropping-particle":"","family":"Yan","given":"Jun","non-dropping-particle":"","parse-names":false,"suffix":""},{"dropping-particle":"","family":"Ritalahti","given":"Kirsti M.","non-dropping-particle":"","parse-names":false,"suffix":""},{"dropping-particle":"","family":"Adrian","given":"Lorenz","non-dropping-particle":"","parse-names":false,"suffix":""},{"dropping-particle":"","family":"Edwards","given":"Elizabeth A.","non-dropping-particle":"","parse-names":false,"suffix":""},{"dropping-particle":"","family":"Konstantinidis","given":"Konstantinos T.","non-dropping-particle":"","parse-names":false,"suffix":""},{"dropping-particle":"","family":"Müller","given":"Jochen A.","non-dropping-particle":"","parse-names":false,"suffix":""},{"dropping-particle":"","family":"Fullerton","given":"Heather","non-dropping-particle":"","parse-names":false,"suffix":""},{"dropping-particle":"","family":"Zinder","given":"Stephen H.","non-dropping-particle":"","parse-names":false,"suffix":""},{"dropping-particle":"","family":"Spormann","given":"Alfred M.","non-dropping-particle":"","parse-names":false,"suffix":""}],"container-title":"International Journal of Systematic and Evolutionary Microbiology","id":"ITEM-1","issue":"PART2","issued":{"date-parts":[["2013"]]},"title":"Dehalococcoides mccartyi gen. nov., sp. nov., obligately organohalide-respiring anaerobic bacteria relevant to halogen cycling and bioremediation, belong to a novel bacterial class, Dehalococcoidia classis nov., order Dehalococcoidales ord. nov. and famil","type":"article-journal","volume":"63"},"uris":["http://www.mendeley.com/documents/?uuid=c52f0151-d607-420a-b205-5456f8270145"]}],"mendeley":{"formattedCitation":"(Löffler et al., 2013)","plainTextFormattedCitation":"(Löffler et al., 2013)","previouslyFormattedCitation":"(Löffler et al., 2013)"},"properties":{"noteIndex":0},"schema":"https://github.com/citation-style-language/schema/raw/master/csl-citation.json"}</w:instrText>
      </w:r>
      <w:r w:rsidRPr="00E91E77">
        <w:fldChar w:fldCharType="separate"/>
      </w:r>
      <w:r w:rsidRPr="00E91E77">
        <w:rPr>
          <w:noProof/>
        </w:rPr>
        <w:t>(Löffler et al., 2013)</w:t>
      </w:r>
      <w:r w:rsidRPr="00E91E77">
        <w:fldChar w:fldCharType="end"/>
      </w:r>
      <w:r w:rsidRPr="00E91E77">
        <w:t xml:space="preserve">. </w:t>
      </w:r>
      <w:r w:rsidR="00D177A2">
        <w:t>For this reason</w:t>
      </w:r>
      <w:r w:rsidR="00E91E77" w:rsidRPr="00E91E77">
        <w:t xml:space="preserve">, </w:t>
      </w:r>
      <w:r w:rsidR="00DC5D1A">
        <w:t xml:space="preserve">the </w:t>
      </w:r>
      <w:r w:rsidR="00E91E77" w:rsidRPr="00E91E77">
        <w:t xml:space="preserve">syntrophic </w:t>
      </w:r>
      <w:r w:rsidR="00DC5D1A" w:rsidRPr="00E91E77">
        <w:t>cooperation</w:t>
      </w:r>
      <w:r w:rsidR="00E91E77" w:rsidRPr="00E91E77">
        <w:t xml:space="preserve"> among PH- and CAH-degrading microorganisms</w:t>
      </w:r>
      <w:r w:rsidR="00AD6E5E">
        <w:t xml:space="preserve"> both</w:t>
      </w:r>
      <w:r w:rsidRPr="00E91E77">
        <w:t xml:space="preserve"> </w:t>
      </w:r>
      <w:r w:rsidR="00E91E77" w:rsidRPr="00E91E77">
        <w:t>in lab-scale and on-field biotreatments</w:t>
      </w:r>
      <w:r w:rsidR="00D177A2">
        <w:t xml:space="preserve"> has</w:t>
      </w:r>
      <w:r w:rsidR="00E91E77" w:rsidRPr="00E91E77">
        <w:t xml:space="preserve"> </w:t>
      </w:r>
      <w:r w:rsidR="00E91E77">
        <w:t>rarely</w:t>
      </w:r>
      <w:r w:rsidR="00E91E77" w:rsidRPr="00E91E77">
        <w:t xml:space="preserve"> </w:t>
      </w:r>
      <w:r w:rsidR="00D177A2">
        <w:t xml:space="preserve">been </w:t>
      </w:r>
      <w:r w:rsidR="00E91E77" w:rsidRPr="00E91E77">
        <w:t>reported in literature</w:t>
      </w:r>
      <w:r w:rsidR="00D177A2">
        <w:t xml:space="preserve"> so far</w:t>
      </w:r>
      <w:r w:rsidR="00E91E77" w:rsidRPr="00E91E77">
        <w:t>.</w:t>
      </w:r>
    </w:p>
    <w:p w14:paraId="5EAF666A" w14:textId="1F90503C" w:rsidR="0099008D" w:rsidRPr="0099008D" w:rsidRDefault="00735427" w:rsidP="009A3518">
      <w:pPr>
        <w:rPr>
          <w:color w:val="4F81BD" w:themeColor="accent1"/>
        </w:rPr>
      </w:pPr>
      <w:r w:rsidRPr="00735427">
        <w:t>In the last decades, microbial electrochemical technologies (MET</w:t>
      </w:r>
      <w:r>
        <w:t>s</w:t>
      </w:r>
      <w:r w:rsidRPr="00735427">
        <w:t xml:space="preserve">) have been increasingly studied for </w:t>
      </w:r>
      <w:r w:rsidR="0099008D" w:rsidRPr="00735427">
        <w:t xml:space="preserve">the treatment of </w:t>
      </w:r>
      <w:r w:rsidRPr="00735427">
        <w:t xml:space="preserve">contaminated </w:t>
      </w:r>
      <w:r w:rsidR="0099008D" w:rsidRPr="00735427">
        <w:t xml:space="preserve">soils and groundwater </w:t>
      </w:r>
      <w:r w:rsidR="0099008D" w:rsidRPr="00735427">
        <w:fldChar w:fldCharType="begin" w:fldLock="1"/>
      </w:r>
      <w:r w:rsidR="008B5A6B" w:rsidRPr="00735427">
        <w:instrText>ADDIN CSL_CITATION {"citationItems":[{"id":"ITEM-1","itemData":{"DOI":"10.1016/j.biotechadv.2015.04.003","ISSN":"07349750","PMID":"25886880","abstract":"The increasing awareness of the energy-environment nexus is compelling the development of technologies that reduce environmental impacts during energy production as well as energy consumption during environmental remediation. Countries spend billions in pollution cleanup projects, and new technologies with low energy and chemical consumption are needed for sustainable remediation practice. This perspective review provides a comprehensive summary on the mechanisms of the new bioelectrochemical system (BES) platform technology for efficient and low cost remediation, including petroleum hydrocarbons, chlorinated solvents, perchlorate, azo dyes, and metals, and it also discusses the potential new uses of BES approach for some emerging contaminants remediation, such as CO&lt;inf&gt;2&lt;/inf&gt; in air and nutrients and micropollutants in water. The unique feature of BES for environmental remediation is the use of electrodes as non-exhaustible electron acceptors, or even donors, for contaminant degradation, which requires minimum energy or chemicals but instead produces sustainable energy for monitoring and other onsite uses. BES provides both oxidation (anode) and reduction (cathode) reactions that integrate microbial-electro-chemical removal mechanisms, so complex contaminants with different characteristics can be removed. We believe the BES platform carries great potential for sustainable remediation and hope this perspective provides background and insights for future research and development.","author":[{"dropping-particle":"","family":"Wang","given":"Heming","non-dropping-particle":"","parse-names":false,"suffix":""},{"dropping-particle":"","family":"Luo","given":"Haiping","non-dropping-particle":"","parse-names":false,"suffix":""},{"dropping-particle":"","family":"Fallgren","given":"Paul H.","non-dropping-particle":"","parse-names":false,"suffix":""},{"dropping-particle":"","family":"Jin","given":"Song","non-dropping-particle":"","parse-names":false,"suffix":""},{"dropping-particle":"","family":"Ren","given":"Zhiyong Jason","non-dropping-particle":"","parse-names":false,"suffix":""}],"container-title":"Biotechnology Advances","id":"ITEM-1","issue":"3-4","issued":{"date-parts":[["2015"]]},"page":"317-334","publisher":"Elsevier Inc.","title":"Bioelectrochemical system platform for sustainable environmental remediation and energy generation","type":"article-journal","volume":"33"},"uris":["http://www.mendeley.com/documents/?uuid=a4800919-4cbc-4208-8815-0d526bec1066"]}],"mendeley":{"formattedCitation":"(Wang et al., 2015)","plainTextFormattedCitation":"(Wang et al., 2015)","previouslyFormattedCitation":"(Wang et al., 2015)"},"properties":{"noteIndex":0},"schema":"https://github.com/citation-style-language/schema/raw/master/csl-citation.json"}</w:instrText>
      </w:r>
      <w:r w:rsidR="0099008D" w:rsidRPr="00735427">
        <w:fldChar w:fldCharType="separate"/>
      </w:r>
      <w:r w:rsidR="008B5A6B" w:rsidRPr="00735427">
        <w:rPr>
          <w:noProof/>
        </w:rPr>
        <w:t>(Wang et al., 2015)</w:t>
      </w:r>
      <w:r w:rsidR="0099008D" w:rsidRPr="00735427">
        <w:fldChar w:fldCharType="end"/>
      </w:r>
      <w:r w:rsidR="0099008D" w:rsidRPr="00735427">
        <w:t xml:space="preserve">. METs </w:t>
      </w:r>
      <w:r w:rsidRPr="00735427">
        <w:t>rely on the capability of</w:t>
      </w:r>
      <w:r w:rsidR="0099008D" w:rsidRPr="00735427">
        <w:t xml:space="preserve"> electro-active microorganisms to oxid</w:t>
      </w:r>
      <w:r w:rsidRPr="00735427">
        <w:t>ize</w:t>
      </w:r>
      <w:r w:rsidR="0099008D" w:rsidRPr="00735427">
        <w:t xml:space="preserve"> or reduc</w:t>
      </w:r>
      <w:r w:rsidRPr="00735427">
        <w:t>e</w:t>
      </w:r>
      <w:r w:rsidR="0099008D" w:rsidRPr="00735427">
        <w:t xml:space="preserve"> </w:t>
      </w:r>
      <w:r w:rsidRPr="00735427">
        <w:t>pollutants</w:t>
      </w:r>
      <w:r w:rsidR="0099008D" w:rsidRPr="00735427">
        <w:t xml:space="preserve"> using </w:t>
      </w:r>
      <w:r w:rsidRPr="00735427">
        <w:t>a solid-state electrode</w:t>
      </w:r>
      <w:r w:rsidR="0099008D" w:rsidRPr="00735427">
        <w:t xml:space="preserve"> as virtually inexhaust</w:t>
      </w:r>
      <w:r w:rsidR="00D177A2">
        <w:t>ible electron acceptor or donor</w:t>
      </w:r>
      <w:r w:rsidR="0099008D" w:rsidRPr="00AD6E5E">
        <w:t>.</w:t>
      </w:r>
      <w:r w:rsidR="00AD6E5E" w:rsidRPr="00AD6E5E">
        <w:t xml:space="preserve"> </w:t>
      </w:r>
      <w:r w:rsidR="0099008D" w:rsidRPr="00AD6E5E">
        <w:t>MET</w:t>
      </w:r>
      <w:r w:rsidRPr="00AD6E5E">
        <w:t>s</w:t>
      </w:r>
      <w:r w:rsidR="0099008D" w:rsidRPr="00AD6E5E">
        <w:t xml:space="preserve"> have </w:t>
      </w:r>
      <w:r w:rsidR="00AD6E5E" w:rsidRPr="00AD6E5E">
        <w:t xml:space="preserve">already been proven </w:t>
      </w:r>
      <w:r w:rsidR="0099008D" w:rsidRPr="00AD6E5E">
        <w:t xml:space="preserve">to </w:t>
      </w:r>
      <w:r w:rsidR="00AD6E5E" w:rsidRPr="00AD6E5E">
        <w:t>accelerate</w:t>
      </w:r>
      <w:r w:rsidR="0099008D" w:rsidRPr="00AD6E5E">
        <w:t xml:space="preserve"> the </w:t>
      </w:r>
      <w:r w:rsidR="00AD6E5E" w:rsidRPr="00AD6E5E">
        <w:t>bio-oxidation</w:t>
      </w:r>
      <w:r w:rsidR="0099008D" w:rsidRPr="00AD6E5E">
        <w:t xml:space="preserve"> </w:t>
      </w:r>
      <w:r w:rsidR="00AD6E5E" w:rsidRPr="00AD6E5E">
        <w:t>of PH such as benzene, toluene, xylenes, and ethyl-benzene (</w:t>
      </w:r>
      <w:r w:rsidR="00AD6E5E" w:rsidRPr="00AD6E5E">
        <w:rPr>
          <w:i/>
        </w:rPr>
        <w:t>i.e.</w:t>
      </w:r>
      <w:r w:rsidR="00AD6E5E" w:rsidRPr="00AD6E5E">
        <w:t xml:space="preserve"> </w:t>
      </w:r>
      <w:r w:rsidR="00AD6E5E" w:rsidRPr="00CD6BF5">
        <w:t xml:space="preserve">BTEX)  </w:t>
      </w:r>
      <w:r w:rsidR="0099008D" w:rsidRPr="00CD6BF5">
        <w:fldChar w:fldCharType="begin" w:fldLock="1"/>
      </w:r>
      <w:r w:rsidR="00CD367C" w:rsidRPr="00CD6BF5">
        <w:instrText>ADDIN CSL_CITATION {"citationItems":[{"id":"ITEM-1","itemData":{"DOI":"10.1111/1751-7915.12760","abstract":"© 2017 The Authors. Microbial Biotechnology published by John Wiley  &amp;  Sons Ltd and Society for Applied Microbiology. Groundwater contamination by petroleum hydrocarbons (PHs) is a widespread problem which poses serious environmental and health concerns. Recently, microbial electrochemical technologies (MET) have attracted considerable attention for remediation applications, having the potential to overcome some of the limiting factors of conventional in situ bioremediation systems. So far, field-scale application of MET has been largely hindered by the limited availability of scalable system configurations. Here, we describe the ‘bioelectric well’ a bioelectrochemical reactor configuration, which can be installed directly within groundwater wells and can be applied for in situ treatment of organic contaminants, such as PHs. A laboratory-scale prototype of the bioelectric well has been set up and operated in continuous-flow regime with phenol as the model contaminant. The best performance was obtained when the system was inoculated with refinery sludge and the anode potentiostatically controlled at +0.2 V versus SHE. Under this condition, the influent phenol (25 mg l−1) was nearly completely (99.5 ± 0.4%) removed, with an average degradation rate of 59 ± 3 mg l−1 d and a coulombic efficiency of 104 ± 4%. Microbial community analysis revealed a remarkable enrichment of Geobacter species on the surface of the graphite anode, clearly pointing to a direct involvement of this electro-active bacterium in the current-generating and phenol-oxidizing process.","author":[{"dropping-particle":"","family":"Palma","given":"E.","non-dropping-particle":"","parse-names":false,"suffix":""},{"dropping-particle":"","family":"Daghio","given":"M.","non-dropping-particle":"","parse-names":false,"suffix":""},{"dropping-particle":"","family":"Franzetti","given":"A.","non-dropping-particle":"","parse-names":false,"suffix":""},{"dropping-particle":"","family":"Petrangeli Papini","given":"M.","non-dropping-particle":"","parse-names":false,"suffix":""},{"dropping-particle":"","family":"Aulenta","given":"F.","non-dropping-particle":"","parse-names":false,"suffix":""}],"container-title":"Microbial Biotechnology","id":"ITEM-1","issue":"1","issued":{"date-parts":[["2018"]]},"page":"112-118","title":"The bioelectric well: a novel approach for in situ treatment of hydrocarbon-contaminated groundwater","type":"article-journal","volume":"11"},"uris":["http://www.mendeley.com/documents/?uuid=ac93ad1c-e625-44b9-a2ef-dfc8ec6cc836"]}],"mendeley":{"formattedCitation":"(Palma et al., 2018)","plainTextFormattedCitation":"(Palma et al., 2018)","previouslyFormattedCitation":"(Palma et al., 2018)"},"properties":{"noteIndex":0},"schema":"https://github.com/citation-style-language/schema/raw/master/csl-citation.json"}</w:instrText>
      </w:r>
      <w:r w:rsidR="0099008D" w:rsidRPr="00CD6BF5">
        <w:fldChar w:fldCharType="separate"/>
      </w:r>
      <w:r w:rsidR="00DC5D1A" w:rsidRPr="00CD6BF5">
        <w:rPr>
          <w:noProof/>
        </w:rPr>
        <w:t>(Palma et al., 2018)</w:t>
      </w:r>
      <w:r w:rsidR="0099008D" w:rsidRPr="00CD6BF5">
        <w:fldChar w:fldCharType="end"/>
      </w:r>
      <w:r w:rsidR="0099008D" w:rsidRPr="00CD6BF5">
        <w:t xml:space="preserve">, as well as </w:t>
      </w:r>
      <w:r w:rsidR="00AD6E5E" w:rsidRPr="00CD6BF5">
        <w:t>enhance the</w:t>
      </w:r>
      <w:r w:rsidR="0099008D" w:rsidRPr="00CD6BF5">
        <w:t xml:space="preserve"> </w:t>
      </w:r>
      <w:r w:rsidR="00AD6E5E" w:rsidRPr="00CD6BF5">
        <w:t>RD</w:t>
      </w:r>
      <w:r w:rsidR="0099008D" w:rsidRPr="00CD6BF5">
        <w:t xml:space="preserve"> of </w:t>
      </w:r>
      <w:r w:rsidR="00AD6E5E" w:rsidRPr="00CD6BF5">
        <w:t>various</w:t>
      </w:r>
      <w:r w:rsidR="0099008D" w:rsidRPr="00CD6BF5">
        <w:t xml:space="preserve"> CAH </w:t>
      </w:r>
      <w:r w:rsidR="00AD6E5E" w:rsidRPr="00CD6BF5">
        <w:t>such as</w:t>
      </w:r>
      <w:r w:rsidR="0099008D" w:rsidRPr="00CD6BF5">
        <w:t xml:space="preserve"> </w:t>
      </w:r>
      <w:proofErr w:type="spellStart"/>
      <w:r w:rsidR="0099008D" w:rsidRPr="00CD6BF5">
        <w:t>perchloroethene</w:t>
      </w:r>
      <w:proofErr w:type="spellEnd"/>
      <w:r w:rsidR="0099008D" w:rsidRPr="00CD6BF5">
        <w:t xml:space="preserve"> (PCE), trichloroethene (TCE</w:t>
      </w:r>
      <w:r w:rsidR="0099008D" w:rsidRPr="00AD6E5E">
        <w:t xml:space="preserve">), and 1,2,-dichloroethane (1,2-DCA) </w:t>
      </w:r>
      <w:r w:rsidR="0099008D" w:rsidRPr="00AD6E5E">
        <w:fldChar w:fldCharType="begin" w:fldLock="1"/>
      </w:r>
      <w:r w:rsidR="00DC5D1A" w:rsidRPr="00AD6E5E">
        <w:instrText>ADDIN CSL_CITATION {"citationItems":[{"id":"ITEM-1","itemData":{"DOI":"10.1016/j.chemosphere.2016.11.072","ISSN":"18791298","abstract":"© 2016 Elsevier Ltd A sequential reductive-oxidative treatment was developed in this study in a continuous-flow bioelectrochemical reactor to address bioremediation of groundwater contaminated by trichloroethene (TCE) and less-chlorinated but still harmful intermediates, such as vinyl chlori de. In order to optimize the anodic compartment, whereby the oxygen-driven microbial oxidation of TCE-daughter products occurs, abiotic batch experiments were performed with various anode materials poised at +1.20 V vs. SHE (i.e., graphite rods and titanium mesh anode coated with mixed metal oxides (MMO)) and setups (i.e., electrodes embedded within a bed of silica beads or graphite granule). The MMO anode displayed higher efficiency ( &gt; 90%) for oxygen generation compared to the graphite electrodes. Additionally, the graphite bed presence adversely affects oxygen generation, likely due to the oxygen scavenging. This effect was completely eliminated by replacing the graphite granules with silica beads. The anodic setups were thereafter verified in a mentioned reactor at an applied TCE loading rate of approximately 20 μM d −1 and a hydraulic retention time of 1.4 d in each compartment. The cathode consisted of a bed of graphite granules and was potentiostatically controlled at −0.65 V vs. SHE. The best reactor performance in terms of removal efficiency (i.e.,  &gt; 97%), removal rate (i.e., 121.8 ± 2.7 μeq L −1 d −1 ), and the residual concentration (i.e., 5.03 ± 0.63 μeq L −1 ) of chlorinated contaminants was achieved with the MMO anode placed in a silica bed. Ecotoxicity tests performed with algae confirmed these results by showing progressive toxicity reduction from inlet to cathodic and anodic effluent using this reactor configuration.","author":[{"dropping-particle":"","family":"Lai","given":"A.","non-dropping-particle":"","parse-names":false,"suffix":""},{"dropping-particle":"","family":"Aulenta","given":"F.","non-dropping-particle":"","parse-names":false,"suffix":""},{"dropping-particle":"","family":"Mingazzini","given":"M.","non-dropping-particle":"","parse-names":false,"suffix":""},{"dropping-particle":"","family":"Palumbo","given":"M.T.","non-dropping-particle":"","parse-names":false,"suffix":""},{"dropping-particle":"","family":"Papini","given":"M.P.","non-dropping-particle":"","parse-names":false,"suffix":""},{"dropping-particle":"","family":"Verdini","given":"R.","non-dropping-particle":"","parse-names":false,"suffix":""},{"dropping-particle":"","family":"Majone","given":"M.","non-dropping-particle":"","parse-names":false,"suffix":""}],"container-title":"Chemosphere","id":"ITEM-1","issued":{"date-parts":[["2017"]]},"title":"Bioelectrochemical approach for reductive and oxidative dechlorination of chlorinated aliphatic hydrocarbons (CAHs)","type":"article-journal","volume":"169"},"uris":["http://www.mendeley.com/documents/?uuid=935f1ff5-6b70-4eab-8274-dab713f5f8df"]}],"mendeley":{"formattedCitation":"(Lai et al., 2017)","plainTextFormattedCitation":"(Lai et al., 2017)","previouslyFormattedCitation":"(Lai et al., 2017)"},"properties":{"noteIndex":0},"schema":"https://github.com/citation-style-language/schema/raw/master/csl-citation.json"}</w:instrText>
      </w:r>
      <w:r w:rsidR="0099008D" w:rsidRPr="00AD6E5E">
        <w:fldChar w:fldCharType="separate"/>
      </w:r>
      <w:r w:rsidR="00302B78" w:rsidRPr="00AD6E5E">
        <w:rPr>
          <w:noProof/>
          <w:lang w:val="en-US"/>
        </w:rPr>
        <w:t>(Lai et al., 2017)</w:t>
      </w:r>
      <w:r w:rsidR="0099008D" w:rsidRPr="00AD6E5E">
        <w:fldChar w:fldCharType="end"/>
      </w:r>
      <w:r w:rsidR="0099008D" w:rsidRPr="00AD6E5E">
        <w:rPr>
          <w:lang w:val="en-US"/>
        </w:rPr>
        <w:t xml:space="preserve">. </w:t>
      </w:r>
      <w:r w:rsidR="0099008D" w:rsidRPr="00AD6E5E">
        <w:t xml:space="preserve">However, </w:t>
      </w:r>
      <w:r w:rsidR="00AD6E5E" w:rsidRPr="00AD6E5E">
        <w:t>the simultaneous removal of PH and CAH</w:t>
      </w:r>
      <w:r w:rsidR="001725E0">
        <w:t xml:space="preserve"> utilizing both the anodic and the cathodic reaction</w:t>
      </w:r>
      <w:r w:rsidR="00AD6E5E">
        <w:t xml:space="preserve"> in a single </w:t>
      </w:r>
      <w:r w:rsidR="00AD6E5E" w:rsidRPr="00A36CC5">
        <w:t>MET</w:t>
      </w:r>
      <w:r w:rsidR="00C36719" w:rsidRPr="00A36CC5">
        <w:t xml:space="preserve"> has been </w:t>
      </w:r>
      <w:r w:rsidR="00A36CC5" w:rsidRPr="00A36CC5">
        <w:t xml:space="preserve">rarely </w:t>
      </w:r>
      <w:r w:rsidR="00C36719" w:rsidRPr="00A36CC5">
        <w:t>attempted.</w:t>
      </w:r>
      <w:r w:rsidR="00AD6E5E" w:rsidRPr="00AD6E5E">
        <w:t xml:space="preserve"> </w:t>
      </w:r>
    </w:p>
    <w:p w14:paraId="09F8D2BE" w14:textId="1FF182D1" w:rsidR="0099008D" w:rsidRPr="0099008D" w:rsidRDefault="001725E0" w:rsidP="009A3518">
      <w:pPr>
        <w:rPr>
          <w:color w:val="4F81BD" w:themeColor="accent1"/>
        </w:rPr>
      </w:pPr>
      <w:r w:rsidRPr="001725E0">
        <w:t>In this work</w:t>
      </w:r>
      <w:r w:rsidR="0099008D" w:rsidRPr="001725E0">
        <w:t xml:space="preserve">, </w:t>
      </w:r>
      <w:r w:rsidR="004C3F51" w:rsidRPr="001725E0">
        <w:t xml:space="preserve">a </w:t>
      </w:r>
      <w:r w:rsidR="004C3F51" w:rsidRPr="004C3F51">
        <w:t>cylindrical MET known as</w:t>
      </w:r>
      <w:r w:rsidR="0099008D" w:rsidRPr="004C3F51">
        <w:t xml:space="preserve"> “bioelectric well”</w:t>
      </w:r>
      <w:r w:rsidR="004C3F51" w:rsidRPr="004C3F51">
        <w:t xml:space="preserve"> </w:t>
      </w:r>
      <w:r w:rsidR="004C3F51" w:rsidRPr="004C3F51">
        <w:fldChar w:fldCharType="begin" w:fldLock="1"/>
      </w:r>
      <w:r w:rsidR="004C3F51" w:rsidRPr="004C3F51">
        <w:instrText>ADDIN CSL_CITATION {"citationItems":[{"id":"ITEM-1","itemData":{"DOI":"10.1111/1751-7915.12760","abstract":"© 2017 The Authors. Microbial Biotechnology published by John Wiley  &amp;  Sons Ltd and Society for Applied Microbiology. Groundwater contamination by petroleum hydrocarbons (PHs) is a widespread problem which poses serious environmental and health concerns. Recently, microbial electrochemical technologies (MET) have attracted considerable attention for remediation applications, having the potential to overcome some of the limiting factors of conventional in situ bioremediation systems. So far, field-scale application of MET has been largely hindered by the limited availability of scalable system configurations. Here, we describe the ‘bioelectric well’ a bioelectrochemical reactor configuration, which can be installed directly within groundwater wells and can be applied for in situ treatment of organic contaminants, such as PHs. A laboratory-scale prototype of the bioelectric well has been set up and operated in continuous-flow regime with phenol as the model contaminant. The best performance was obtained when the system was inoculated with refinery sludge and the anode potentiostatically controlled at +0.2 V versus SHE. Under this condition, the influent phenol (25 mg l−1) was nearly completely (99.5 ± 0.4%) removed, with an average degradation rate of 59 ± 3 mg l−1 d and a coulombic efficiency of 104 ± 4%. Microbial community analysis revealed a remarkable enrichment of Geobacter species on the surface of the graphite anode, clearly pointing to a direct involvement of this electro-active bacterium in the current-generating and phenol-oxidizing process.","author":[{"dropping-particle":"","family":"Palma","given":"E.","non-dropping-particle":"","parse-names":false,"suffix":""},{"dropping-particle":"","family":"Daghio","given":"M.","non-dropping-particle":"","parse-names":false,"suffix":""},{"dropping-particle":"","family":"Franzetti","given":"A.","non-dropping-particle":"","parse-names":false,"suffix":""},{"dropping-particle":"","family":"Petrangeli Papini","given":"M.","non-dropping-particle":"","parse-names":false,"suffix":""},{"dropping-particle":"","family":"Aulenta","given":"F.","non-dropping-particle":"","parse-names":false,"suffix":""}],"container-title":"Microbial Biotechnology","id":"ITEM-1","issue":"1","issued":{"date-parts":[["2018"]]},"page":"112-118","title":"The bioelectric well: a novel approach for in situ treatment of hydrocarbon-contaminated groundwater","type":"article-journal","volume":"11"},"uris":["http://www.mendeley.com/documents/?uuid=ac93ad1c-e625-44b9-a2ef-dfc8ec6cc836"]}],"mendeley":{"formattedCitation":"(Palma et al., 2018)","plainTextFormattedCitation":"(Palma et al., 2018)","previouslyFormattedCitation":"(Palma et al., 2018)"},"properties":{"noteIndex":0},"schema":"https://github.com/citation-style-language/schema/raw/master/csl-citation.json"}</w:instrText>
      </w:r>
      <w:r w:rsidR="004C3F51" w:rsidRPr="004C3F51">
        <w:fldChar w:fldCharType="separate"/>
      </w:r>
      <w:r w:rsidR="004C3F51" w:rsidRPr="004C3F51">
        <w:rPr>
          <w:noProof/>
        </w:rPr>
        <w:t>(Palma et al., 2018)</w:t>
      </w:r>
      <w:r w:rsidR="004C3F51" w:rsidRPr="004C3F51">
        <w:fldChar w:fldCharType="end"/>
      </w:r>
      <w:r w:rsidR="004C3F51" w:rsidRPr="004C3F51">
        <w:t>,</w:t>
      </w:r>
      <w:r w:rsidR="0099008D" w:rsidRPr="004C3F51">
        <w:t xml:space="preserve"> </w:t>
      </w:r>
      <w:r w:rsidRPr="004C3F51">
        <w:t xml:space="preserve">which is </w:t>
      </w:r>
      <w:r w:rsidR="004C3F51">
        <w:t>specifically designed for in-</w:t>
      </w:r>
      <w:r w:rsidR="0099008D" w:rsidRPr="004C3F51">
        <w:t>situ treatment of contaminated groundwater</w:t>
      </w:r>
      <w:r w:rsidR="004C3F51" w:rsidRPr="004C3F51">
        <w:t>, is tested</w:t>
      </w:r>
      <w:r w:rsidR="00BD5F5B" w:rsidRPr="004C3F51">
        <w:t xml:space="preserve"> </w:t>
      </w:r>
      <w:r w:rsidR="0099008D" w:rsidRPr="004C3F51">
        <w:t>for the bioremediation of a mixture of toluene (as mode</w:t>
      </w:r>
      <w:r w:rsidRPr="004C3F51">
        <w:t>l PH) and TCE (as model CAH) for the first time</w:t>
      </w:r>
      <w:r>
        <w:rPr>
          <w:color w:val="4F81BD" w:themeColor="accent1"/>
        </w:rPr>
        <w:t>.</w:t>
      </w:r>
      <w:r w:rsidRPr="0099008D">
        <w:rPr>
          <w:color w:val="4F81BD" w:themeColor="accent1"/>
        </w:rPr>
        <w:t xml:space="preserve"> </w:t>
      </w:r>
      <w:r w:rsidR="004C3F51" w:rsidRPr="004C3F51">
        <w:t xml:space="preserve">The </w:t>
      </w:r>
      <w:r w:rsidR="004C3F51" w:rsidRPr="00FE5FE5">
        <w:t>obtained r</w:t>
      </w:r>
      <w:r w:rsidR="0099008D" w:rsidRPr="00FE5FE5">
        <w:t xml:space="preserve">esults </w:t>
      </w:r>
      <w:r w:rsidR="00B94C2E" w:rsidRPr="00FE5FE5">
        <w:t>proved</w:t>
      </w:r>
      <w:r w:rsidR="0099008D" w:rsidRPr="00FE5FE5">
        <w:t xml:space="preserve"> that the current generated from the oxidation of toluene </w:t>
      </w:r>
      <w:r w:rsidR="00B94C2E" w:rsidRPr="00FE5FE5">
        <w:t>at the anode is the driving force</w:t>
      </w:r>
      <w:r w:rsidR="00FE5FE5" w:rsidRPr="00FE5FE5">
        <w:t xml:space="preserve"> that</w:t>
      </w:r>
      <w:r w:rsidR="0099008D" w:rsidRPr="00FE5FE5">
        <w:t xml:space="preserve"> sustain</w:t>
      </w:r>
      <w:r w:rsidR="00B94C2E" w:rsidRPr="00FE5FE5">
        <w:t>s</w:t>
      </w:r>
      <w:r w:rsidR="0099008D" w:rsidRPr="00FE5FE5">
        <w:t xml:space="preserve"> the RD of TCE to less-chlorinated or eventually non-chlorinated end-products</w:t>
      </w:r>
      <w:r w:rsidR="00FE5FE5" w:rsidRPr="00FE5FE5">
        <w:t xml:space="preserve"> via electrochemical production of H</w:t>
      </w:r>
      <w:r w:rsidR="00FE5FE5" w:rsidRPr="00FE5FE5">
        <w:rPr>
          <w:vertAlign w:val="subscript"/>
        </w:rPr>
        <w:t>2</w:t>
      </w:r>
      <w:r w:rsidR="00FE5FE5" w:rsidRPr="00FE5FE5">
        <w:t xml:space="preserve"> at the cathode</w:t>
      </w:r>
      <w:r w:rsidR="0099008D" w:rsidRPr="00FE5FE5">
        <w:t xml:space="preserve">. </w:t>
      </w:r>
    </w:p>
    <w:p w14:paraId="34AB5BF7" w14:textId="77777777" w:rsidR="0099008D" w:rsidRPr="0099008D" w:rsidRDefault="0099008D" w:rsidP="00C53063">
      <w:pPr>
        <w:pStyle w:val="CETBodytext"/>
        <w:rPr>
          <w:color w:val="4F81BD" w:themeColor="accent1"/>
        </w:rPr>
      </w:pPr>
    </w:p>
    <w:p w14:paraId="5741900F" w14:textId="3AFEECED" w:rsidR="00453E24" w:rsidRDefault="00AD2C60" w:rsidP="00453E24">
      <w:pPr>
        <w:pStyle w:val="CETHeading1"/>
      </w:pPr>
      <w:r>
        <w:t>Materials and methods</w:t>
      </w:r>
    </w:p>
    <w:p w14:paraId="339B4748" w14:textId="7377FCC1" w:rsidR="00E80E3E" w:rsidRDefault="00CD6BF5" w:rsidP="009A3518">
      <w:pPr>
        <w:pStyle w:val="Paragrafoelenco"/>
        <w:tabs>
          <w:tab w:val="left" w:pos="709"/>
        </w:tabs>
        <w:autoSpaceDE w:val="0"/>
        <w:autoSpaceDN w:val="0"/>
        <w:ind w:left="0"/>
        <w:rPr>
          <w:color w:val="4F81BD" w:themeColor="accent1"/>
        </w:rPr>
      </w:pPr>
      <w:r w:rsidRPr="0069059C">
        <w:t>The bioelectric well consists of</w:t>
      </w:r>
      <w:r w:rsidR="009A3518" w:rsidRPr="0069059C">
        <w:t xml:space="preserve"> a glass cylinder </w:t>
      </w:r>
      <w:r w:rsidR="00344BC4" w:rsidRPr="0069059C">
        <w:t xml:space="preserve">(volume: 250 mL) </w:t>
      </w:r>
      <w:r w:rsidR="00CF57E0" w:rsidRPr="0069059C">
        <w:t>containing an anode composed of</w:t>
      </w:r>
      <w:r w:rsidR="009A3518" w:rsidRPr="0069059C">
        <w:t xml:space="preserve"> 8 </w:t>
      </w:r>
      <w:r w:rsidR="0069059C" w:rsidRPr="0069059C">
        <w:t>adjacent</w:t>
      </w:r>
      <w:r w:rsidR="009A3518" w:rsidRPr="0069059C">
        <w:t xml:space="preserve"> graphite rods (</w:t>
      </w:r>
      <w:r w:rsidR="00C97979">
        <w:t xml:space="preserve">rod dimensions: </w:t>
      </w:r>
      <w:r w:rsidR="00E80E3E" w:rsidRPr="0069059C">
        <w:t xml:space="preserve">30 </w:t>
      </w:r>
      <w:r w:rsidR="00C97979">
        <w:t>x</w:t>
      </w:r>
      <w:r w:rsidR="00E80E3E" w:rsidRPr="0069059C">
        <w:t xml:space="preserve"> 0.6 cm; </w:t>
      </w:r>
      <w:r w:rsidR="009A3518" w:rsidRPr="0069059C">
        <w:t xml:space="preserve">purity: 99.995%; </w:t>
      </w:r>
      <w:r w:rsidR="00E80E3E" w:rsidRPr="0069059C">
        <w:t>Merck</w:t>
      </w:r>
      <w:r w:rsidR="009A3518" w:rsidRPr="0069059C">
        <w:t xml:space="preserve">, </w:t>
      </w:r>
      <w:r w:rsidR="00E80E3E" w:rsidRPr="0069059C">
        <w:t>Germany</w:t>
      </w:r>
      <w:r w:rsidR="009A3518" w:rsidRPr="0069059C">
        <w:t>) and a concentric stainless-steel mesh cathode (</w:t>
      </w:r>
      <w:r w:rsidR="00C97979">
        <w:t xml:space="preserve">dimensions: </w:t>
      </w:r>
      <w:r w:rsidR="009A3518" w:rsidRPr="0069059C">
        <w:t xml:space="preserve">3 x 30 cm; type 304, Alpha </w:t>
      </w:r>
      <w:proofErr w:type="spellStart"/>
      <w:r w:rsidR="009A3518" w:rsidRPr="0069059C">
        <w:t>Aesar</w:t>
      </w:r>
      <w:proofErr w:type="spellEnd"/>
      <w:r w:rsidR="009A3518" w:rsidRPr="0069059C">
        <w:t xml:space="preserve">, USA) </w:t>
      </w:r>
      <w:r w:rsidR="00A03967">
        <w:t>(Figure 1A</w:t>
      </w:r>
      <w:r w:rsidR="009A3518" w:rsidRPr="0069059C">
        <w:t xml:space="preserve">). </w:t>
      </w:r>
      <w:r w:rsidR="00344BC4" w:rsidRPr="0069059C">
        <w:t>The two electrodes</w:t>
      </w:r>
      <w:r w:rsidR="009A3518" w:rsidRPr="0069059C">
        <w:t xml:space="preserve"> </w:t>
      </w:r>
      <w:r w:rsidR="00344BC4" w:rsidRPr="0069059C">
        <w:t>are</w:t>
      </w:r>
      <w:r w:rsidR="0069059C" w:rsidRPr="0069059C">
        <w:t xml:space="preserve"> physically</w:t>
      </w:r>
      <w:r w:rsidR="009A3518" w:rsidRPr="0069059C">
        <w:t xml:space="preserve"> separated by a polyethylene mesh (</w:t>
      </w:r>
      <w:r w:rsidR="00A03967">
        <w:t>Figure 1B</w:t>
      </w:r>
      <w:r w:rsidR="009A3518" w:rsidRPr="0069059C">
        <w:t xml:space="preserve">), </w:t>
      </w:r>
      <w:r w:rsidR="0069059C" w:rsidRPr="0069059C">
        <w:t xml:space="preserve">which still </w:t>
      </w:r>
      <w:r w:rsidR="00344BC4" w:rsidRPr="0069059C">
        <w:t>allows</w:t>
      </w:r>
      <w:r w:rsidR="009A3518" w:rsidRPr="0069059C">
        <w:t xml:space="preserve"> hydraulic connection between the anodic and cathodic </w:t>
      </w:r>
      <w:r w:rsidR="00344BC4" w:rsidRPr="0069059C">
        <w:t>region</w:t>
      </w:r>
      <w:r w:rsidR="009A3518" w:rsidRPr="0069059C">
        <w:t xml:space="preserve">. </w:t>
      </w:r>
      <w:r w:rsidR="0069059C">
        <w:t xml:space="preserve">The anode potential was imposed </w:t>
      </w:r>
      <w:r w:rsidR="0069059C" w:rsidRPr="0090167D">
        <w:t xml:space="preserve">by means of </w:t>
      </w:r>
      <w:proofErr w:type="gramStart"/>
      <w:r w:rsidR="0069059C" w:rsidRPr="0090167D">
        <w:t>an</w:t>
      </w:r>
      <w:proofErr w:type="gramEnd"/>
      <w:r w:rsidR="0069059C" w:rsidRPr="0090167D">
        <w:t xml:space="preserve"> potentiostat (</w:t>
      </w:r>
      <w:proofErr w:type="spellStart"/>
      <w:r w:rsidR="0069059C" w:rsidRPr="0090167D">
        <w:t>IVIUMnSTAT</w:t>
      </w:r>
      <w:proofErr w:type="spellEnd"/>
      <w:r w:rsidR="0069059C" w:rsidRPr="0090167D">
        <w:t>, IVIUM Technologies, The Netherlands) at 0.2 V vs. SHE, and a</w:t>
      </w:r>
      <w:r w:rsidR="009A3518" w:rsidRPr="0090167D">
        <w:t xml:space="preserve">n Ag/AgCl electrode (+198 mV </w:t>
      </w:r>
      <w:r w:rsidR="0069059C" w:rsidRPr="0090167D">
        <w:t xml:space="preserve">vs. </w:t>
      </w:r>
      <w:r w:rsidR="009A3518" w:rsidRPr="0090167D">
        <w:t>SHE) was</w:t>
      </w:r>
      <w:r w:rsidR="0069059C" w:rsidRPr="0090167D">
        <w:t xml:space="preserve"> used as</w:t>
      </w:r>
      <w:r w:rsidR="009A3518" w:rsidRPr="0090167D">
        <w:t xml:space="preserve"> </w:t>
      </w:r>
      <w:r w:rsidR="00323456" w:rsidRPr="0090167D">
        <w:t xml:space="preserve">reference. </w:t>
      </w:r>
      <w:r w:rsidR="00E80E3E" w:rsidRPr="0090167D">
        <w:t xml:space="preserve">The </w:t>
      </w:r>
      <w:r w:rsidR="00E80E3E" w:rsidRPr="00E80E3E">
        <w:t xml:space="preserve">reactor column was packed </w:t>
      </w:r>
      <w:r w:rsidR="00E80E3E" w:rsidRPr="00344BC4">
        <w:t>with</w:t>
      </w:r>
      <w:r w:rsidRPr="00344BC4">
        <w:t xml:space="preserve"> river sand</w:t>
      </w:r>
      <w:r w:rsidRPr="00E80E3E">
        <w:t xml:space="preserve"> </w:t>
      </w:r>
      <w:proofErr w:type="gramStart"/>
      <w:r w:rsidR="00344BC4">
        <w:t>in order to</w:t>
      </w:r>
      <w:proofErr w:type="gramEnd"/>
      <w:r w:rsidR="00344BC4">
        <w:t xml:space="preserve"> increase the retention of the slow-growing </w:t>
      </w:r>
      <w:proofErr w:type="spellStart"/>
      <w:r w:rsidR="00344BC4">
        <w:t>dehalogenating</w:t>
      </w:r>
      <w:proofErr w:type="spellEnd"/>
      <w:r w:rsidR="00344BC4">
        <w:t xml:space="preserve"> </w:t>
      </w:r>
      <w:r w:rsidR="0090167D">
        <w:t>microorganisms</w:t>
      </w:r>
      <w:r w:rsidR="00344BC4">
        <w:t>.</w:t>
      </w:r>
    </w:p>
    <w:p w14:paraId="523A8B9B" w14:textId="3E92C482" w:rsidR="009A3518" w:rsidRPr="00484485" w:rsidRDefault="0090167D" w:rsidP="009A3518">
      <w:pPr>
        <w:pStyle w:val="Paragrafoelenco"/>
        <w:tabs>
          <w:tab w:val="left" w:pos="709"/>
        </w:tabs>
        <w:autoSpaceDE w:val="0"/>
        <w:autoSpaceDN w:val="0"/>
        <w:ind w:left="0"/>
        <w:rPr>
          <w:i/>
        </w:rPr>
      </w:pPr>
      <w:r w:rsidRPr="00484485">
        <w:t>T</w:t>
      </w:r>
      <w:r w:rsidR="009A3518" w:rsidRPr="00484485">
        <w:t xml:space="preserve">he reactor was inoculated with 0.2 L of </w:t>
      </w:r>
      <w:r w:rsidRPr="00484485">
        <w:t xml:space="preserve">contaminated </w:t>
      </w:r>
      <w:r w:rsidR="009A3518" w:rsidRPr="00484485">
        <w:t xml:space="preserve">groundwater </w:t>
      </w:r>
      <w:r w:rsidR="00484485" w:rsidRPr="00484485">
        <w:t>obtained from</w:t>
      </w:r>
      <w:r w:rsidRPr="00484485">
        <w:t xml:space="preserve"> a petrochemical </w:t>
      </w:r>
      <w:r w:rsidR="009A3518" w:rsidRPr="00484485">
        <w:t xml:space="preserve">site in Italy and with 50 mL of a dechlorinating </w:t>
      </w:r>
      <w:r w:rsidR="00484485" w:rsidRPr="00484485">
        <w:t xml:space="preserve">microbial </w:t>
      </w:r>
      <w:r w:rsidR="009A3518" w:rsidRPr="00484485">
        <w:t>culture</w:t>
      </w:r>
      <w:r w:rsidR="00484485" w:rsidRPr="00484485">
        <w:t xml:space="preserve"> enriched with </w:t>
      </w:r>
      <w:r w:rsidR="00484485" w:rsidRPr="00484485">
        <w:rPr>
          <w:i/>
        </w:rPr>
        <w:t>Dehalococcoides mccartyi</w:t>
      </w:r>
      <w:r w:rsidR="00B05993">
        <w:rPr>
          <w:i/>
        </w:rPr>
        <w:t xml:space="preserve"> </w:t>
      </w:r>
      <w:r w:rsidR="00B05993" w:rsidRPr="00484485">
        <w:fldChar w:fldCharType="begin" w:fldLock="1"/>
      </w:r>
      <w:r w:rsidR="00B05993" w:rsidRPr="00484485">
        <w:instrText>ADDIN CSL_CITATION {"citationItems":[{"id":"ITEM-1","itemData":{"DOI":"10.1016/j.electacta.2021.138636","ISSN":"00134686","abstract":"Petroleum hydrocarbons (PHs) are often found in groundwater due to human activities like accidental spills, causing health and environmental risks, and requiring remediation. Microbial Electrochemical Technologies (METs) have emerged as a promising alternative to conventional bioremediation techniques for the treatment of PH-contaminated groundwater. However, the field-application of these promising sustainable as well as cost-effective technologies is still scarce. One major reason is the lack of scalable reactor configurations. Herein, an upgraded version of the “bioelectric well”, a novel tubular bioelectrochemical reactor that can be installed directly within a groundwater well, was tested for the simultaneous removal of oxidableoxidizable (i.e., toluene and other PH) and reducible (i.e., sulfate) compounds from a real contaminated groundwater. After a proof-of-concept study in batch mode, the system was operated in continuous-flow mode for 48 days with the anode polarized at 0.2 V vs. SHE and a hydraulic retention time of 11 h. In these conditions, a steady-state removal rate of toluene as high as 31 ± 2 mg L−1 d−1 was achieved, which was more than double the value observed with the open circuit potential (OCP) control and one of the highest reported in literature. The electrode polarization went along with a higher abundance of key-functional genes involved in toluene degradation. This was not only showing its clear functional connection to the microbial metabolism, but further allowed to identify the involved electrogenic biodegradation pathway. In addition, the system simultaneously removed sulfate (30 ± 1 mg L−1 d−1), with bacteria likely using the H2 generated at the cathode as electron donor. Nevertheless, the apparent sulfate removal rate in the polarized and in the OCP runs was similar. The analysis of the microbial communities evidenced a high abundance of the genus Chlorobium in the effluent of the polarized run. These microorganisms were probably responsible for the continuous oxidative regeneration of sulfate from the sulfide produced at the cathode by sulfate-reducing bacteria. This phenomenon probably hindered the overall removal of sulfate by the bioelectrochemical system.","author":[{"dropping-particle":"","family":"Tucci","given":"Matteo","non-dropping-particle":"","parse-names":false,"suffix":""},{"dropping-particle":"","family":"Carolina","given":"Cruz Viggi","non-dropping-particle":"","parse-names":false,"suffix":""},{"dropping-particle":"","family":"Resitano","given":"Marco","non-dropping-particle":"","parse-names":false,"suffix":""},{"dropping-particle":"","family":"Matturro","given":"Bruna","non-dropping-particle":"","parse-names":false,"suffix":""},{"dropping-particle":"","family":"Crognale","given":"Simona","non-dropping-particle":"","parse-names":false,"suffix":""},{"dropping-particle":"","family":"Pietrini","given":"Ilaria","non-dropping-particle":"","parse-names":false,"suffix":""},{"dropping-particle":"","family":"Rossetti","given":"Simona","non-dropping-particle":"","parse-names":false,"suffix":""},{"dropping-particle":"","family":"Harnisch","given":"Falk","non-dropping-particle":"","parse-names":false,"suffix":""},{"dropping-particle":"","family":"Aulenta","given":"Federico","non-dropping-particle":"","parse-names":false,"suffix":""}],"container-title":"Electrochimica Acta","id":"ITEM-1","issued":{"date-parts":[["2021"]]},"page":"138636","publisher":"Elsevier Ltd","title":"Simultaneous removal of hydrocarbons and sulfate from groundwater using a “bioelectric well”","type":"article-journal","volume":"388"},"uris":["http://www.mendeley.com/documents/?uuid=e8050f37-c598-4c05-88dc-77b696e3a8c4"]}],"mendeley":{"formattedCitation":"(Tucci et al., 2021)","plainTextFormattedCitation":"(Tucci et al., 2021)","previouslyFormattedCitation":"(Tucci et al., 2021)"},"properties":{"noteIndex":0},"schema":"https://github.com/citation-style-language/schema/raw/master/csl-citation.json"}</w:instrText>
      </w:r>
      <w:r w:rsidR="00B05993" w:rsidRPr="00484485">
        <w:fldChar w:fldCharType="separate"/>
      </w:r>
      <w:r w:rsidR="00B05993" w:rsidRPr="00484485">
        <w:rPr>
          <w:noProof/>
        </w:rPr>
        <w:t>(Tucci et al., 2021)</w:t>
      </w:r>
      <w:r w:rsidR="00B05993" w:rsidRPr="00484485">
        <w:fldChar w:fldCharType="end"/>
      </w:r>
      <w:r w:rsidR="009A3518" w:rsidRPr="00484485">
        <w:rPr>
          <w:i/>
        </w:rPr>
        <w:t>.</w:t>
      </w:r>
    </w:p>
    <w:p w14:paraId="7B1781F1" w14:textId="58FF6588" w:rsidR="004E6603" w:rsidRPr="004E6603" w:rsidRDefault="0009667F" w:rsidP="009A3518">
      <w:pPr>
        <w:pStyle w:val="Paragrafoelenco"/>
        <w:tabs>
          <w:tab w:val="left" w:pos="709"/>
        </w:tabs>
        <w:autoSpaceDE w:val="0"/>
        <w:autoSpaceDN w:val="0"/>
        <w:ind w:left="0"/>
      </w:pPr>
      <w:r w:rsidRPr="0009667F">
        <w:t>During operations,</w:t>
      </w:r>
      <w:r w:rsidR="009A3518" w:rsidRPr="0009667F">
        <w:t xml:space="preserve"> the reac</w:t>
      </w:r>
      <w:r w:rsidRPr="0009667F">
        <w:t xml:space="preserve">tor was continuously fed with </w:t>
      </w:r>
      <w:r w:rsidR="009A3518" w:rsidRPr="0009667F">
        <w:t xml:space="preserve">synthetic groundwater </w:t>
      </w:r>
      <w:r w:rsidR="004A7F22">
        <w:t>prepared as reported by Tucci et al. (2021) and</w:t>
      </w:r>
      <w:r w:rsidR="004A7F22">
        <w:rPr>
          <w:color w:val="000000" w:themeColor="text1"/>
        </w:rPr>
        <w:t xml:space="preserve"> </w:t>
      </w:r>
      <w:r w:rsidR="009A3518" w:rsidRPr="0009667F">
        <w:t>spiked with toluene and TCE (</w:t>
      </w:r>
      <w:r w:rsidRPr="0009667F">
        <w:t>Merck, Germany</w:t>
      </w:r>
      <w:r w:rsidR="009A3518" w:rsidRPr="0009667F">
        <w:t xml:space="preserve">) at </w:t>
      </w:r>
      <w:r w:rsidR="00EF5DFC" w:rsidRPr="0009667F">
        <w:t>concentrations</w:t>
      </w:r>
      <w:r w:rsidRPr="0009667F">
        <w:t xml:space="preserve"> </w:t>
      </w:r>
      <w:r w:rsidRPr="00FE5FE5">
        <w:t xml:space="preserve">ranging from </w:t>
      </w:r>
      <w:r w:rsidR="00F921AC" w:rsidRPr="00FE5FE5">
        <w:t xml:space="preserve">0.1 </w:t>
      </w:r>
      <w:r w:rsidR="00FE5FE5" w:rsidRPr="00FE5FE5">
        <w:t>to</w:t>
      </w:r>
      <w:r w:rsidR="00F921AC" w:rsidRPr="00FE5FE5">
        <w:t xml:space="preserve"> 2.0 mmol L</w:t>
      </w:r>
      <w:r w:rsidR="00F921AC" w:rsidRPr="00FE5FE5">
        <w:rPr>
          <w:vertAlign w:val="superscript"/>
        </w:rPr>
        <w:t>-1</w:t>
      </w:r>
      <w:r w:rsidR="00413334" w:rsidRPr="00FE5FE5">
        <w:t xml:space="preserve"> and</w:t>
      </w:r>
      <w:r w:rsidR="00FE5FE5" w:rsidRPr="00FE5FE5">
        <w:t xml:space="preserve"> from</w:t>
      </w:r>
      <w:r w:rsidR="00413334" w:rsidRPr="00FE5FE5">
        <w:t xml:space="preserve"> </w:t>
      </w:r>
      <w:r w:rsidR="00F921AC" w:rsidRPr="00FE5FE5">
        <w:t xml:space="preserve">0.04 </w:t>
      </w:r>
      <w:r w:rsidR="00FE5FE5" w:rsidRPr="00FE5FE5">
        <w:t>to</w:t>
      </w:r>
      <w:r w:rsidR="00F921AC" w:rsidRPr="00FE5FE5">
        <w:t xml:space="preserve"> 0.2</w:t>
      </w:r>
      <w:r w:rsidR="00413334" w:rsidRPr="00FE5FE5">
        <w:t>4</w:t>
      </w:r>
      <w:r w:rsidRPr="00FE5FE5">
        <w:t xml:space="preserve"> respectively</w:t>
      </w:r>
      <w:r w:rsidR="009A3518" w:rsidRPr="00FE5FE5">
        <w:t>.</w:t>
      </w:r>
      <w:r w:rsidRPr="00FE5FE5">
        <w:t xml:space="preserve"> T</w:t>
      </w:r>
      <w:r w:rsidR="009A3518" w:rsidRPr="00FE5FE5">
        <w:t xml:space="preserve">he synthetic groundwater was </w:t>
      </w:r>
      <w:r w:rsidR="00C97979" w:rsidRPr="00FE5FE5">
        <w:t>stored in</w:t>
      </w:r>
      <w:r w:rsidR="00C97979" w:rsidRPr="000742A0">
        <w:t xml:space="preserve"> a </w:t>
      </w:r>
      <w:r w:rsidR="009A3518" w:rsidRPr="000742A0">
        <w:t xml:space="preserve">collapsible </w:t>
      </w:r>
      <w:proofErr w:type="spellStart"/>
      <w:r w:rsidR="009A3518" w:rsidRPr="000742A0">
        <w:t>Tedlar</w:t>
      </w:r>
      <w:proofErr w:type="spellEnd"/>
      <w:r w:rsidR="009A3518" w:rsidRPr="000742A0">
        <w:t xml:space="preserve">® bag </w:t>
      </w:r>
      <w:r w:rsidR="00C97979" w:rsidRPr="000742A0">
        <w:t xml:space="preserve">(volume: 5 L) </w:t>
      </w:r>
      <w:r w:rsidR="009A3518" w:rsidRPr="000742A0">
        <w:t xml:space="preserve">and </w:t>
      </w:r>
      <w:r w:rsidR="00C97979" w:rsidRPr="000742A0">
        <w:t>pumped</w:t>
      </w:r>
      <w:r w:rsidR="009A3518" w:rsidRPr="000742A0">
        <w:t xml:space="preserve"> through a port situated at the bottom of the cylinder (flow rate: 0.75 L/d, HRT</w:t>
      </w:r>
      <w:r w:rsidR="00C97979" w:rsidRPr="000742A0">
        <w:t>:</w:t>
      </w:r>
      <w:r w:rsidR="009A3518" w:rsidRPr="000742A0">
        <w:t xml:space="preserve"> 9.3 h)</w:t>
      </w:r>
      <w:r w:rsidR="00C97979" w:rsidRPr="000742A0">
        <w:t xml:space="preserve"> by means of a peristaltic pump</w:t>
      </w:r>
      <w:r w:rsidR="000742A0" w:rsidRPr="000742A0">
        <w:t xml:space="preserve"> (120S, Watson Marlow, UK). T</w:t>
      </w:r>
      <w:r w:rsidR="009A3518" w:rsidRPr="000742A0">
        <w:t xml:space="preserve">he treated effluent </w:t>
      </w:r>
      <w:r w:rsidR="000742A0" w:rsidRPr="000742A0">
        <w:t xml:space="preserve">was </w:t>
      </w:r>
      <w:r w:rsidR="000742A0" w:rsidRPr="004E6603">
        <w:t>discharged</w:t>
      </w:r>
      <w:r w:rsidR="009A3518" w:rsidRPr="004E6603">
        <w:t xml:space="preserve"> from a port </w:t>
      </w:r>
      <w:r w:rsidR="000742A0" w:rsidRPr="004E6603">
        <w:t xml:space="preserve">at </w:t>
      </w:r>
      <w:r w:rsidR="009A3518" w:rsidRPr="004E6603">
        <w:t>the upper end</w:t>
      </w:r>
      <w:r w:rsidR="000742A0" w:rsidRPr="004E6603">
        <w:t xml:space="preserve"> of the cylinder</w:t>
      </w:r>
      <w:r w:rsidR="009A3518" w:rsidRPr="004E6603">
        <w:t xml:space="preserve"> (Figure 1). </w:t>
      </w:r>
    </w:p>
    <w:p w14:paraId="671EA385" w14:textId="0E6960AF" w:rsidR="000742A0" w:rsidRPr="004E6603" w:rsidRDefault="004E6603" w:rsidP="009A3518">
      <w:pPr>
        <w:pStyle w:val="Paragrafoelenco"/>
        <w:tabs>
          <w:tab w:val="left" w:pos="709"/>
        </w:tabs>
        <w:autoSpaceDE w:val="0"/>
        <w:autoSpaceDN w:val="0"/>
        <w:ind w:left="0"/>
      </w:pPr>
      <w:r w:rsidRPr="004E6603">
        <w:t>All tubings were made of Viton® (Merck, Germany) to limit volatilization losses and organic contaminant adsorption as much as possible.</w:t>
      </w:r>
    </w:p>
    <w:p w14:paraId="2B0AAA9A" w14:textId="3BE303FF" w:rsidR="009A3518" w:rsidRDefault="009A3518" w:rsidP="009A3518">
      <w:pPr>
        <w:pStyle w:val="Paragrafoelenco"/>
        <w:tabs>
          <w:tab w:val="left" w:pos="709"/>
        </w:tabs>
        <w:autoSpaceDE w:val="0"/>
        <w:autoSpaceDN w:val="0"/>
        <w:ind w:left="0"/>
      </w:pPr>
      <w:r w:rsidRPr="004E6603">
        <w:t xml:space="preserve">The inlet and the outlet of the </w:t>
      </w:r>
      <w:r w:rsidR="004E6603" w:rsidRPr="004E6603">
        <w:t xml:space="preserve">bioelectrochemical </w:t>
      </w:r>
      <w:r w:rsidRPr="004E6603">
        <w:t xml:space="preserve">reactor were </w:t>
      </w:r>
      <w:r w:rsidR="004E6603" w:rsidRPr="004E6603">
        <w:t>provided</w:t>
      </w:r>
      <w:r w:rsidRPr="004E6603">
        <w:t xml:space="preserve"> with flow-through, </w:t>
      </w:r>
      <w:r w:rsidR="004E6603" w:rsidRPr="004E6603">
        <w:t>continuously</w:t>
      </w:r>
      <w:r w:rsidRPr="004E6603">
        <w:t xml:space="preserve"> stirred, sampling cells (volume: 25 mL). </w:t>
      </w:r>
      <w:r w:rsidR="004E6603" w:rsidRPr="004E6603">
        <w:t xml:space="preserve">The whole study </w:t>
      </w:r>
      <w:r w:rsidRPr="004E6603">
        <w:t xml:space="preserve">was </w:t>
      </w:r>
      <w:r w:rsidR="004E6603" w:rsidRPr="004E6603">
        <w:t>conducted</w:t>
      </w:r>
      <w:r w:rsidRPr="004E6603">
        <w:t xml:space="preserve"> at room temperature (i.e., 24 ± 3°C).</w:t>
      </w:r>
    </w:p>
    <w:p w14:paraId="0F1D30FF" w14:textId="551CC9E3" w:rsidR="00293F2C" w:rsidRPr="004E6603" w:rsidRDefault="00116419" w:rsidP="009A3518">
      <w:pPr>
        <w:pStyle w:val="Paragrafoelenco"/>
        <w:tabs>
          <w:tab w:val="left" w:pos="709"/>
        </w:tabs>
        <w:autoSpaceDE w:val="0"/>
        <w:autoSpaceDN w:val="0"/>
        <w:ind w:left="0"/>
      </w:pPr>
      <w:r>
        <w:rPr>
          <w:noProof/>
          <w:lang w:val="it-IT" w:eastAsia="it-IT"/>
        </w:rPr>
        <w:lastRenderedPageBreak/>
        <w:drawing>
          <wp:inline distT="0" distB="0" distL="0" distR="0" wp14:anchorId="7CC0113F" wp14:editId="151B5F20">
            <wp:extent cx="5593920" cy="3435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408" cy="3445475"/>
                    </a:xfrm>
                    <a:prstGeom prst="rect">
                      <a:avLst/>
                    </a:prstGeom>
                    <a:noFill/>
                  </pic:spPr>
                </pic:pic>
              </a:graphicData>
            </a:graphic>
          </wp:inline>
        </w:drawing>
      </w:r>
    </w:p>
    <w:p w14:paraId="7CE27C3C" w14:textId="44FBE35F" w:rsidR="00E80E3E" w:rsidRPr="00EF5DFC" w:rsidRDefault="00E80E3E" w:rsidP="00E80E3E">
      <w:pPr>
        <w:pStyle w:val="CETCaption"/>
      </w:pPr>
      <w:r w:rsidRPr="00EF5DFC">
        <w:rPr>
          <w:rStyle w:val="CETCaptionCarattere"/>
          <w:i/>
        </w:rPr>
        <w:t xml:space="preserve">Figure 1: </w:t>
      </w:r>
      <w:r w:rsidR="00A03967">
        <w:rPr>
          <w:rStyle w:val="CETCaptionCarattere"/>
          <w:i/>
        </w:rPr>
        <w:t>A</w:t>
      </w:r>
      <w:r w:rsidR="001F7FBC" w:rsidRPr="00EF5DFC">
        <w:rPr>
          <w:rStyle w:val="CETCaptionCarattere"/>
          <w:i/>
        </w:rPr>
        <w:t>) Schematic representation</w:t>
      </w:r>
      <w:r w:rsidRPr="00EF5DFC">
        <w:rPr>
          <w:rStyle w:val="CETCaptionCarattere"/>
          <w:i/>
        </w:rPr>
        <w:t xml:space="preserve"> </w:t>
      </w:r>
      <w:r w:rsidR="001F7FBC" w:rsidRPr="00EF5DFC">
        <w:rPr>
          <w:rStyle w:val="CETCaptionCarattere"/>
          <w:i/>
        </w:rPr>
        <w:t>of the bioelectric well configura</w:t>
      </w:r>
      <w:r w:rsidR="00A03967">
        <w:rPr>
          <w:rStyle w:val="CETCaptionCarattere"/>
          <w:i/>
        </w:rPr>
        <w:t>tion used for the experiments; B</w:t>
      </w:r>
      <w:r w:rsidR="001F7FBC" w:rsidRPr="00EF5DFC">
        <w:rPr>
          <w:rStyle w:val="CETCaptionCarattere"/>
          <w:i/>
        </w:rPr>
        <w:t>) cross-section</w:t>
      </w:r>
      <w:r w:rsidRPr="00EF5DFC">
        <w:rPr>
          <w:rStyle w:val="CETCaptionCarattere"/>
          <w:i/>
        </w:rPr>
        <w:t xml:space="preserve"> </w:t>
      </w:r>
      <w:r w:rsidR="001F7FBC" w:rsidRPr="00EF5DFC">
        <w:rPr>
          <w:rStyle w:val="CETCaptionCarattere"/>
          <w:i/>
        </w:rPr>
        <w:t>of the reactor</w:t>
      </w:r>
      <w:r w:rsidRPr="00EF5DFC">
        <w:rPr>
          <w:rStyle w:val="CETCaptionCarattere"/>
          <w:i/>
        </w:rPr>
        <w:t>.</w:t>
      </w:r>
    </w:p>
    <w:p w14:paraId="723A2D27" w14:textId="77777777" w:rsidR="009A3518" w:rsidRPr="00E80E3E" w:rsidRDefault="009A3518" w:rsidP="00453E24">
      <w:pPr>
        <w:pStyle w:val="CETBodytext"/>
        <w:rPr>
          <w:lang w:val="en-GB"/>
        </w:rPr>
      </w:pPr>
    </w:p>
    <w:p w14:paraId="18BAFA6F" w14:textId="09C2A7A0" w:rsidR="00453E24" w:rsidRDefault="009A3518" w:rsidP="00453E24">
      <w:pPr>
        <w:pStyle w:val="CETheadingx"/>
      </w:pPr>
      <w:r>
        <w:t>Gas analyses</w:t>
      </w:r>
    </w:p>
    <w:p w14:paraId="3F7136FE" w14:textId="3FFDC473" w:rsidR="009A3518" w:rsidRPr="002408A2" w:rsidRDefault="00972CDA" w:rsidP="009A3518">
      <w:pPr>
        <w:tabs>
          <w:tab w:val="left" w:pos="709"/>
        </w:tabs>
        <w:autoSpaceDE w:val="0"/>
        <w:autoSpaceDN w:val="0"/>
        <w:rPr>
          <w:color w:val="000000" w:themeColor="text1"/>
        </w:rPr>
      </w:pPr>
      <w:r>
        <w:rPr>
          <w:color w:val="000000" w:themeColor="text1"/>
          <w:lang w:val="en-US"/>
        </w:rPr>
        <w:t xml:space="preserve">Throughout the study, the </w:t>
      </w:r>
      <w:r w:rsidR="002E69E5">
        <w:rPr>
          <w:color w:val="000000" w:themeColor="text1"/>
          <w:lang w:val="en-US"/>
        </w:rPr>
        <w:t xml:space="preserve">headspace of the </w:t>
      </w:r>
      <w:r w:rsidR="00BB0BF6">
        <w:rPr>
          <w:color w:val="000000" w:themeColor="text1"/>
          <w:lang w:val="en-US"/>
        </w:rPr>
        <w:t xml:space="preserve">inlet and outlet </w:t>
      </w:r>
      <w:r w:rsidR="002E69E5">
        <w:rPr>
          <w:color w:val="000000" w:themeColor="text1"/>
          <w:lang w:val="en-US"/>
        </w:rPr>
        <w:t xml:space="preserve">sampling cells was analyzed (twice a day) </w:t>
      </w:r>
      <w:r w:rsidR="002E69E5">
        <w:rPr>
          <w:color w:val="000000" w:themeColor="text1"/>
        </w:rPr>
        <w:t xml:space="preserve">for determination of </w:t>
      </w:r>
      <w:r w:rsidR="002E69E5" w:rsidRPr="00972CDA">
        <w:rPr>
          <w:color w:val="000000" w:themeColor="text1"/>
        </w:rPr>
        <w:t>O</w:t>
      </w:r>
      <w:r w:rsidR="002E69E5" w:rsidRPr="00972CDA">
        <w:rPr>
          <w:color w:val="000000" w:themeColor="text1"/>
          <w:vertAlign w:val="subscript"/>
        </w:rPr>
        <w:t>2</w:t>
      </w:r>
      <w:r w:rsidR="002E69E5" w:rsidRPr="00972CDA">
        <w:rPr>
          <w:color w:val="000000" w:themeColor="text1"/>
        </w:rPr>
        <w:t>, H</w:t>
      </w:r>
      <w:r w:rsidR="002E69E5" w:rsidRPr="00972CDA">
        <w:rPr>
          <w:color w:val="000000" w:themeColor="text1"/>
          <w:vertAlign w:val="subscript"/>
        </w:rPr>
        <w:t>2</w:t>
      </w:r>
      <w:r w:rsidR="002E69E5" w:rsidRPr="00972CDA">
        <w:rPr>
          <w:color w:val="000000" w:themeColor="text1"/>
        </w:rPr>
        <w:t xml:space="preserve"> and CH</w:t>
      </w:r>
      <w:r w:rsidR="002E69E5" w:rsidRPr="00972CDA">
        <w:rPr>
          <w:color w:val="000000" w:themeColor="text1"/>
          <w:vertAlign w:val="subscript"/>
        </w:rPr>
        <w:t>4</w:t>
      </w:r>
      <w:r w:rsidR="002E69E5" w:rsidRPr="00972CDA">
        <w:rPr>
          <w:color w:val="000000" w:themeColor="text1"/>
        </w:rPr>
        <w:t xml:space="preserve"> </w:t>
      </w:r>
      <w:r w:rsidR="009A3518" w:rsidRPr="00972CDA">
        <w:rPr>
          <w:color w:val="000000" w:themeColor="text1"/>
        </w:rPr>
        <w:t>using a gas-chromatograph (Agilent 8860, GC system</w:t>
      </w:r>
      <w:r w:rsidRPr="00972CDA">
        <w:rPr>
          <w:color w:val="000000" w:themeColor="text1"/>
        </w:rPr>
        <w:t>,</w:t>
      </w:r>
      <w:r w:rsidR="009A3518" w:rsidRPr="00972CDA">
        <w:rPr>
          <w:color w:val="000000" w:themeColor="text1"/>
        </w:rPr>
        <w:t xml:space="preserve"> USA) equipped with a thermal conductivity detector (TCD)</w:t>
      </w:r>
      <w:r w:rsidR="002E69E5">
        <w:rPr>
          <w:color w:val="000000" w:themeColor="text1"/>
        </w:rPr>
        <w:t xml:space="preserve"> and for</w:t>
      </w:r>
      <w:r w:rsidR="009A3518" w:rsidRPr="00972CDA">
        <w:rPr>
          <w:color w:val="000000" w:themeColor="text1"/>
        </w:rPr>
        <w:t xml:space="preserve"> </w:t>
      </w:r>
      <w:r w:rsidR="002E69E5">
        <w:rPr>
          <w:color w:val="000000" w:themeColor="text1"/>
        </w:rPr>
        <w:t xml:space="preserve">determination of </w:t>
      </w:r>
      <w:r w:rsidR="009A3518" w:rsidRPr="00972CDA">
        <w:rPr>
          <w:color w:val="000000" w:themeColor="text1"/>
        </w:rPr>
        <w:t xml:space="preserve">toluene, TCE, cis-dichloroethene (cis-DCE), vinyl chloride (VC) and </w:t>
      </w:r>
      <w:r w:rsidR="00F921AC" w:rsidRPr="00972CDA">
        <w:rPr>
          <w:color w:val="000000" w:themeColor="text1"/>
        </w:rPr>
        <w:t>eth</w:t>
      </w:r>
      <w:r w:rsidR="00F921AC">
        <w:rPr>
          <w:color w:val="000000" w:themeColor="text1"/>
        </w:rPr>
        <w:t>yl</w:t>
      </w:r>
      <w:r w:rsidR="00F921AC" w:rsidRPr="00972CDA">
        <w:rPr>
          <w:color w:val="000000" w:themeColor="text1"/>
        </w:rPr>
        <w:t>ene</w:t>
      </w:r>
      <w:r w:rsidR="009A3518" w:rsidRPr="00972CDA">
        <w:rPr>
          <w:color w:val="000000" w:themeColor="text1"/>
        </w:rPr>
        <w:t xml:space="preserve"> (ETH), </w:t>
      </w:r>
      <w:r w:rsidR="002E69E5">
        <w:rPr>
          <w:color w:val="000000" w:themeColor="text1"/>
        </w:rPr>
        <w:t>using</w:t>
      </w:r>
      <w:r w:rsidR="00F612A8" w:rsidRPr="00972CDA">
        <w:rPr>
          <w:color w:val="000000" w:themeColor="text1"/>
        </w:rPr>
        <w:t xml:space="preserve"> a</w:t>
      </w:r>
      <w:r w:rsidR="009A3518" w:rsidRPr="00972CDA">
        <w:rPr>
          <w:color w:val="000000" w:themeColor="text1"/>
        </w:rPr>
        <w:t xml:space="preserve"> gas-chromatograph (Agilent 8860, GC system</w:t>
      </w:r>
      <w:r w:rsidRPr="00972CDA">
        <w:rPr>
          <w:color w:val="000000" w:themeColor="text1"/>
        </w:rPr>
        <w:t>,</w:t>
      </w:r>
      <w:r w:rsidR="009A3518" w:rsidRPr="00972CDA">
        <w:rPr>
          <w:color w:val="000000" w:themeColor="text1"/>
        </w:rPr>
        <w:t xml:space="preserve"> USA) equipped with a flame ionization detector (FID). </w:t>
      </w:r>
      <w:r>
        <w:rPr>
          <w:color w:val="000000" w:themeColor="text1"/>
        </w:rPr>
        <w:t xml:space="preserve">The </w:t>
      </w:r>
      <w:r w:rsidRPr="00972CDA">
        <w:rPr>
          <w:color w:val="000000" w:themeColor="text1"/>
        </w:rPr>
        <w:t>obtained g</w:t>
      </w:r>
      <w:r w:rsidR="009A3518" w:rsidRPr="00972CDA">
        <w:rPr>
          <w:color w:val="000000" w:themeColor="text1"/>
        </w:rPr>
        <w:t xml:space="preserve">as-phase concentrations were converted into liquid-phase concentrations using tabulated Henry’s Law constants </w:t>
      </w:r>
      <w:r w:rsidR="009A3518" w:rsidRPr="00972CDA">
        <w:rPr>
          <w:color w:val="000000" w:themeColor="text1"/>
        </w:rPr>
        <w:fldChar w:fldCharType="begin" w:fldLock="1"/>
      </w:r>
      <w:r w:rsidR="008B5A6B" w:rsidRPr="00972CDA">
        <w:rPr>
          <w:color w:val="000000" w:themeColor="text1"/>
        </w:rPr>
        <w:instrText>ADDIN CSL_CITATION {"citationItems":[{"id":"ITEM-1","itemData":{"DOI":"10.5194/acp-15-4399-2015","ISSN":"16807324","abstract":"Many atmospheric chemicals occur in the gas phase as well as in liquid cloud droplets and aerosol particles. Therefore, it is necessary to understand the distribution between the phases. According to Henry's law, the equilibrium ratio between the abundances in the gas phase and in the aqueous phase is constant for a dilute solution. Henry's law constants of trace gases of potential importance in environmental chemistry have been collected and converted into a uniform format. The compilation contains 17 350 values of Henry's law constants for 4632 species, collected from 689 references. It is also available at http://www.henrys-law.org.","author":[{"dropping-particle":"","family":"Sander","given":"R.","non-dropping-particle":"","parse-names":false,"suffix":""}],"container-title":"Atmospheric Chemistry and Physics","id":"ITEM-1","issue":"8","issued":{"date-parts":[["2015"]]},"page":"4399-4981","title":"Compilation of Henry's law constants (version 4.0) for water as solvent","type":"article-journal","volume":"15"},"uris":["http://www.mendeley.com/documents/?uuid=015a3793-f912-4e38-a3cb-56a970fb8304"]}],"mendeley":{"formattedCitation":"(Sander, 2015)","plainTextFormattedCitation":"(Sander, 2015)","previouslyFormattedCitation":"(Sander, 2015)"},"properties":{"noteIndex":0},"schema":"https://github.com/citation-style-language/schema/raw/master/csl-citation.json"}</w:instrText>
      </w:r>
      <w:r w:rsidR="009A3518" w:rsidRPr="00972CDA">
        <w:rPr>
          <w:color w:val="000000" w:themeColor="text1"/>
        </w:rPr>
        <w:fldChar w:fldCharType="separate"/>
      </w:r>
      <w:r w:rsidR="009A3518" w:rsidRPr="00972CDA">
        <w:rPr>
          <w:noProof/>
          <w:color w:val="000000" w:themeColor="text1"/>
        </w:rPr>
        <w:t>(Sander, 2015)</w:t>
      </w:r>
      <w:r w:rsidR="009A3518" w:rsidRPr="00972CDA">
        <w:rPr>
          <w:color w:val="000000" w:themeColor="text1"/>
        </w:rPr>
        <w:fldChar w:fldCharType="end"/>
      </w:r>
      <w:r w:rsidR="009A3518" w:rsidRPr="00972CDA">
        <w:rPr>
          <w:color w:val="000000" w:themeColor="text1"/>
        </w:rPr>
        <w:t xml:space="preserve">. </w:t>
      </w:r>
      <w:r w:rsidR="009A3518" w:rsidRPr="002408A2">
        <w:rPr>
          <w:color w:val="000000" w:themeColor="text1"/>
        </w:rPr>
        <w:t xml:space="preserve">The </w:t>
      </w:r>
      <w:r w:rsidR="002408A2" w:rsidRPr="002408A2">
        <w:rPr>
          <w:color w:val="000000" w:themeColor="text1"/>
        </w:rPr>
        <w:t xml:space="preserve">detailed </w:t>
      </w:r>
      <w:r w:rsidR="009A3518" w:rsidRPr="002408A2">
        <w:rPr>
          <w:color w:val="000000" w:themeColor="text1"/>
        </w:rPr>
        <w:t>GC methods,</w:t>
      </w:r>
      <w:r w:rsidR="002408A2" w:rsidRPr="002408A2">
        <w:rPr>
          <w:color w:val="000000" w:themeColor="text1"/>
        </w:rPr>
        <w:t xml:space="preserve"> together with</w:t>
      </w:r>
      <w:r w:rsidR="009A3518" w:rsidRPr="002408A2">
        <w:rPr>
          <w:color w:val="000000" w:themeColor="text1"/>
        </w:rPr>
        <w:t xml:space="preserve"> calibration ranges and LOD are reported elsewhere </w:t>
      </w:r>
      <w:r w:rsidR="009A3518" w:rsidRPr="002408A2">
        <w:rPr>
          <w:color w:val="000000" w:themeColor="text1"/>
        </w:rPr>
        <w:fldChar w:fldCharType="begin" w:fldLock="1"/>
      </w:r>
      <w:r w:rsidR="00112C93" w:rsidRPr="002408A2">
        <w:rPr>
          <w:color w:val="000000" w:themeColor="text1"/>
        </w:rPr>
        <w:instrText>ADDIN CSL_CITATION {"citationItems":[{"id":"ITEM-1","itemData":{"DOI":"10.1016/j.electacta.2021.138636","ISSN":"00134686","abstract":"Petroleum hydrocarbons (PHs) are often found in groundwater due to human activities like accidental spills, causing health and environmental risks, and requiring remediation. Microbial Electrochemical Technologies (METs) have emerged as a promising alternative to conventional bioremediation techniques for the treatment of PH-contaminated groundwater. However, the field-application of these promising sustainable as well as cost-effective technologies is still scarce. One major reason is the lack of scalable reactor configurations. Herein, an upgraded version of the “bioelectric well”, a novel tubular bioelectrochemical reactor that can be installed directly within a groundwater well, was tested for the simultaneous removal of oxidableoxidizable (i.e., toluene and other PH) and reducible (i.e., sulfate) compounds from a real contaminated groundwater. After a proof-of-concept study in batch mode, the system was operated in continuous-flow mode for 48 days with the anode polarized at 0.2 V vs. SHE and a hydraulic retention time of 11 h. In these conditions, a steady-state removal rate of toluene as high as 31 ± 2 mg L−1 d−1 was achieved, which was more than double the value observed with the open circuit potential (OCP) control and one of the highest reported in literature. The electrode polarization went along with a higher abundance of key-functional genes involved in toluene degradation. This was not only showing its clear functional connection to the microbial metabolism, but further allowed to identify the involved electrogenic biodegradation pathway. In addition, the system simultaneously removed sulfate (30 ± 1 mg L−1 d−1), with bacteria likely using the H2 generated at the cathode as electron donor. Nevertheless, the apparent sulfate removal rate in the polarized and in the OCP runs was similar. The analysis of the microbial communities evidenced a high abundance of the genus Chlorobium in the effluent of the polarized run. These microorganisms were probably responsible for the continuous oxidative regeneration of sulfate from the sulfide produced at the cathode by sulfate-reducing bacteria. This phenomenon probably hindered the overall removal of sulfate by the bioelectrochemical system.","author":[{"dropping-particle":"","family":"Tucci","given":"Matteo","non-dropping-particle":"","parse-names":false,"suffix":""},{"dropping-particle":"","family":"Carolina","given":"Cruz Viggi","non-dropping-particle":"","parse-names":false,"suffix":""},{"dropping-particle":"","family":"Resitano","given":"Marco","non-dropping-particle":"","parse-names":false,"suffix":""},{"dropping-particle":"","family":"Matturro","given":"Bruna","non-dropping-particle":"","parse-names":false,"suffix":""},{"dropping-particle":"","family":"Crognale","given":"Simona","non-dropping-particle":"","parse-names":false,"suffix":""},{"dropping-particle":"","family":"Pietrini","given":"Ilaria","non-dropping-particle":"","parse-names":false,"suffix":""},{"dropping-particle":"","family":"Rossetti","given":"Simona","non-dropping-particle":"","parse-names":false,"suffix":""},{"dropping-particle":"","family":"Harnisch","given":"Falk","non-dropping-particle":"","parse-names":false,"suffix":""},{"dropping-particle":"","family":"Aulenta","given":"Federico","non-dropping-particle":"","parse-names":false,"suffix":""}],"container-title":"Electrochimica Acta","id":"ITEM-1","issued":{"date-parts":[["2021"]]},"page":"138636","publisher":"Elsevier Ltd","title":"Simultaneous removal of hydrocarbons and sulfate from groundwater using a “bioelectric well”","type":"article-journal","volume":"388"},"uris":["http://www.mendeley.com/documents/?uuid=e8050f37-c598-4c05-88dc-77b696e3a8c4"]}],"mendeley":{"formattedCitation":"(Tucci et al., 2021)","plainTextFormattedCitation":"(Tucci et al., 2021)","previouslyFormattedCitation":"(Tucci et al., 2021)"},"properties":{"noteIndex":0},"schema":"https://github.com/citation-style-language/schema/raw/master/csl-citation.json"}</w:instrText>
      </w:r>
      <w:r w:rsidR="009A3518" w:rsidRPr="002408A2">
        <w:rPr>
          <w:color w:val="000000" w:themeColor="text1"/>
        </w:rPr>
        <w:fldChar w:fldCharType="separate"/>
      </w:r>
      <w:r w:rsidR="00112C93" w:rsidRPr="002408A2">
        <w:rPr>
          <w:noProof/>
          <w:color w:val="000000" w:themeColor="text1"/>
        </w:rPr>
        <w:t>(Tucci et al., 2021)</w:t>
      </w:r>
      <w:r w:rsidR="009A3518" w:rsidRPr="002408A2">
        <w:rPr>
          <w:color w:val="000000" w:themeColor="text1"/>
        </w:rPr>
        <w:fldChar w:fldCharType="end"/>
      </w:r>
      <w:r w:rsidR="009A3518" w:rsidRPr="002408A2">
        <w:rPr>
          <w:color w:val="000000" w:themeColor="text1"/>
        </w:rPr>
        <w:t>.</w:t>
      </w:r>
    </w:p>
    <w:p w14:paraId="5AC129E6" w14:textId="53BDD76D" w:rsidR="009A3518" w:rsidRDefault="009A3518" w:rsidP="009A3518">
      <w:pPr>
        <w:pStyle w:val="CETBodytext"/>
      </w:pPr>
    </w:p>
    <w:p w14:paraId="1B29D479" w14:textId="3E11C5B5" w:rsidR="00F603F9" w:rsidRDefault="00F603F9" w:rsidP="00F603F9">
      <w:pPr>
        <w:pStyle w:val="CETheadingx"/>
      </w:pPr>
      <w:r>
        <w:t>Calculations</w:t>
      </w:r>
    </w:p>
    <w:p w14:paraId="646F3000" w14:textId="3CE99331" w:rsidR="00F603F9" w:rsidRPr="009027FE" w:rsidRDefault="00F603F9" w:rsidP="00F603F9">
      <w:pPr>
        <w:tabs>
          <w:tab w:val="left" w:pos="709"/>
        </w:tabs>
        <w:autoSpaceDE w:val="0"/>
        <w:autoSpaceDN w:val="0"/>
        <w:rPr>
          <w:color w:val="000000" w:themeColor="text1"/>
        </w:rPr>
      </w:pPr>
      <w:r w:rsidRPr="009027FE">
        <w:rPr>
          <w:color w:val="000000" w:themeColor="text1"/>
        </w:rPr>
        <w:t xml:space="preserve">The removal rate of </w:t>
      </w:r>
      <w:r w:rsidR="009027FE" w:rsidRPr="009027FE">
        <w:rPr>
          <w:color w:val="000000" w:themeColor="text1"/>
        </w:rPr>
        <w:t xml:space="preserve">both </w:t>
      </w:r>
      <w:r w:rsidRPr="009027FE">
        <w:rPr>
          <w:color w:val="000000" w:themeColor="text1"/>
        </w:rPr>
        <w:t xml:space="preserve">toluene and TCE </w:t>
      </w:r>
      <w:r w:rsidRPr="009027FE">
        <w:rPr>
          <w:i/>
          <w:color w:val="000000" w:themeColor="text1"/>
        </w:rPr>
        <w:t>q</w:t>
      </w:r>
      <w:r w:rsidRPr="009027FE">
        <w:rPr>
          <w:color w:val="000000" w:themeColor="text1"/>
        </w:rPr>
        <w:t xml:space="preserve"> (</w:t>
      </w:r>
      <w:r w:rsidRPr="009027FE">
        <w:rPr>
          <w:color w:val="000000" w:themeColor="text1"/>
        </w:rPr>
        <w:sym w:font="Symbol" w:char="F06D"/>
      </w:r>
      <w:r w:rsidR="001C1C11">
        <w:rPr>
          <w:color w:val="000000" w:themeColor="text1"/>
        </w:rPr>
        <w:t xml:space="preserve">mol </w:t>
      </w:r>
      <w:r w:rsidRPr="009027FE">
        <w:rPr>
          <w:color w:val="000000" w:themeColor="text1"/>
        </w:rPr>
        <w:t>L</w:t>
      </w:r>
      <w:r w:rsidR="001C1C11" w:rsidRPr="001C1C11">
        <w:rPr>
          <w:color w:val="000000" w:themeColor="text1"/>
          <w:vertAlign w:val="superscript"/>
        </w:rPr>
        <w:t>-1</w:t>
      </w:r>
      <w:r w:rsidRPr="009027FE">
        <w:rPr>
          <w:color w:val="000000" w:themeColor="text1"/>
        </w:rPr>
        <w:t xml:space="preserve"> d</w:t>
      </w:r>
      <w:r w:rsidR="001C1C11" w:rsidRPr="001C1C11">
        <w:rPr>
          <w:color w:val="000000" w:themeColor="text1"/>
          <w:vertAlign w:val="superscript"/>
        </w:rPr>
        <w:t>-1</w:t>
      </w:r>
      <w:r w:rsidRPr="009027FE">
        <w:rPr>
          <w:color w:val="000000" w:themeColor="text1"/>
        </w:rPr>
        <w:t xml:space="preserve">) </w:t>
      </w:r>
      <w:r w:rsidR="009027FE" w:rsidRPr="009027FE">
        <w:rPr>
          <w:color w:val="000000" w:themeColor="text1"/>
        </w:rPr>
        <w:t>were</w:t>
      </w:r>
      <w:r w:rsidRPr="009027FE">
        <w:rPr>
          <w:color w:val="000000" w:themeColor="text1"/>
        </w:rPr>
        <w:t xml:space="preserve"> calculated using the following equation:</w:t>
      </w:r>
    </w:p>
    <w:tbl>
      <w:tblPr>
        <w:tblW w:w="5000" w:type="pct"/>
        <w:tblLook w:val="04A0" w:firstRow="1" w:lastRow="0" w:firstColumn="1" w:lastColumn="0" w:noHBand="0" w:noVBand="1"/>
      </w:tblPr>
      <w:tblGrid>
        <w:gridCol w:w="7983"/>
        <w:gridCol w:w="804"/>
      </w:tblGrid>
      <w:tr w:rsidR="009027FE" w:rsidRPr="009027FE" w14:paraId="4B3D42F0" w14:textId="77777777" w:rsidTr="00D6242F">
        <w:tc>
          <w:tcPr>
            <w:tcW w:w="8188" w:type="dxa"/>
            <w:shd w:val="clear" w:color="auto" w:fill="auto"/>
            <w:vAlign w:val="center"/>
          </w:tcPr>
          <w:p w14:paraId="33D74274" w14:textId="5EFAF607" w:rsidR="009027FE" w:rsidRPr="009027FE" w:rsidRDefault="009027FE" w:rsidP="00D6242F">
            <w:pPr>
              <w:pStyle w:val="CETEquation"/>
              <w:rPr>
                <w:rFonts w:cs="Arial"/>
                <w:color w:val="000000" w:themeColor="text1"/>
              </w:rPr>
            </w:pPr>
            <m:oMathPara>
              <m:oMathParaPr>
                <m:jc m:val="left"/>
              </m:oMathParaPr>
              <m:oMath>
                <m:r>
                  <w:rPr>
                    <w:rFonts w:ascii="Cambria Math" w:hAnsi="Cambria Math" w:cs="Arial"/>
                    <w:color w:val="000000" w:themeColor="text1"/>
                  </w:rPr>
                  <m:t>q</m:t>
                </m:r>
                <m:r>
                  <m:rPr>
                    <m:sty m:val="p"/>
                  </m:rPr>
                  <w:rPr>
                    <w:rFonts w:ascii="Cambria Math" w:hAnsi="Cambria Math" w:cs="Arial"/>
                    <w:color w:val="000000" w:themeColor="text1"/>
                  </w:rPr>
                  <m:t>=</m:t>
                </m:r>
                <m:f>
                  <m:fPr>
                    <m:ctrlPr>
                      <w:rPr>
                        <w:rFonts w:ascii="Cambria Math" w:hAnsi="Cambria Math" w:cs="Arial"/>
                        <w:color w:val="000000" w:themeColor="text1"/>
                      </w:rPr>
                    </m:ctrlPr>
                  </m:fPr>
                  <m:num>
                    <m:sSub>
                      <m:sSubPr>
                        <m:ctrlPr>
                          <w:rPr>
                            <w:rFonts w:ascii="Cambria Math" w:hAnsi="Cambria Math" w:cs="Arial"/>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in</m:t>
                        </m:r>
                      </m:sub>
                    </m:sSub>
                    <m:r>
                      <m:rPr>
                        <m:sty m:val="p"/>
                      </m:rPr>
                      <w:rPr>
                        <w:rFonts w:ascii="Cambria Math" w:hAnsi="Cambria Math" w:cs="Arial"/>
                        <w:color w:val="000000" w:themeColor="text1"/>
                      </w:rPr>
                      <m:t>-</m:t>
                    </m:r>
                    <m:sSub>
                      <m:sSubPr>
                        <m:ctrlPr>
                          <w:rPr>
                            <w:rFonts w:ascii="Cambria Math" w:hAnsi="Cambria Math" w:cs="Arial"/>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out</m:t>
                        </m:r>
                      </m:sub>
                    </m:sSub>
                  </m:num>
                  <m:den>
                    <m:sSub>
                      <m:sSubPr>
                        <m:ctrlPr>
                          <w:rPr>
                            <w:rFonts w:ascii="Cambria Math" w:hAnsi="Cambria Math" w:cs="Arial"/>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r</m:t>
                        </m:r>
                      </m:sub>
                    </m:sSub>
                  </m:den>
                </m:f>
                <m:r>
                  <m:rPr>
                    <m:sty m:val="p"/>
                  </m:rPr>
                  <w:rPr>
                    <w:rFonts w:ascii="Cambria Math" w:hAnsi="Cambria Math" w:cs="Arial"/>
                    <w:color w:val="000000" w:themeColor="text1"/>
                  </w:rPr>
                  <m:t xml:space="preserve"> </m:t>
                </m:r>
                <m:r>
                  <w:rPr>
                    <w:rFonts w:ascii="Cambria Math" w:hAnsi="Cambria Math" w:cs="Arial"/>
                    <w:color w:val="000000" w:themeColor="text1"/>
                  </w:rPr>
                  <m:t>Q</m:t>
                </m:r>
              </m:oMath>
            </m:oMathPara>
          </w:p>
        </w:tc>
        <w:tc>
          <w:tcPr>
            <w:tcW w:w="815" w:type="dxa"/>
            <w:shd w:val="clear" w:color="auto" w:fill="auto"/>
            <w:vAlign w:val="center"/>
          </w:tcPr>
          <w:p w14:paraId="641D1862" w14:textId="77777777" w:rsidR="009027FE" w:rsidRPr="009027FE" w:rsidRDefault="009027FE" w:rsidP="00D6242F">
            <w:pPr>
              <w:pStyle w:val="CETEquation"/>
              <w:jc w:val="right"/>
              <w:rPr>
                <w:color w:val="000000" w:themeColor="text1"/>
              </w:rPr>
            </w:pPr>
            <w:r w:rsidRPr="009027FE">
              <w:rPr>
                <w:color w:val="000000" w:themeColor="text1"/>
              </w:rPr>
              <w:t>(1)</w:t>
            </w:r>
          </w:p>
        </w:tc>
      </w:tr>
    </w:tbl>
    <w:p w14:paraId="1DA1770A" w14:textId="407C14A8" w:rsidR="00F603F9" w:rsidRPr="009027FE" w:rsidRDefault="00F603F9" w:rsidP="00F603F9">
      <w:pPr>
        <w:tabs>
          <w:tab w:val="left" w:pos="709"/>
        </w:tabs>
        <w:autoSpaceDE w:val="0"/>
        <w:autoSpaceDN w:val="0"/>
        <w:rPr>
          <w:color w:val="000000" w:themeColor="text1"/>
        </w:rPr>
      </w:pPr>
      <w:r w:rsidRPr="009027FE">
        <w:rPr>
          <w:color w:val="000000" w:themeColor="text1"/>
        </w:rPr>
        <w:t xml:space="preserve">where </w:t>
      </w:r>
      <w:proofErr w:type="spellStart"/>
      <w:r w:rsidRPr="009027FE">
        <w:rPr>
          <w:color w:val="000000" w:themeColor="text1"/>
        </w:rPr>
        <w:t>C</w:t>
      </w:r>
      <w:r w:rsidRPr="009027FE">
        <w:rPr>
          <w:color w:val="000000" w:themeColor="text1"/>
          <w:vertAlign w:val="subscript"/>
        </w:rPr>
        <w:t>in</w:t>
      </w:r>
      <w:proofErr w:type="spellEnd"/>
      <w:r w:rsidRPr="009027FE">
        <w:rPr>
          <w:color w:val="000000" w:themeColor="text1"/>
        </w:rPr>
        <w:t xml:space="preserve"> and </w:t>
      </w:r>
      <w:proofErr w:type="spellStart"/>
      <w:r w:rsidRPr="009027FE">
        <w:rPr>
          <w:color w:val="000000" w:themeColor="text1"/>
        </w:rPr>
        <w:t>C</w:t>
      </w:r>
      <w:r w:rsidRPr="009027FE">
        <w:rPr>
          <w:color w:val="000000" w:themeColor="text1"/>
          <w:vertAlign w:val="subscript"/>
        </w:rPr>
        <w:t>out</w:t>
      </w:r>
      <w:proofErr w:type="spellEnd"/>
      <w:r w:rsidRPr="009027FE">
        <w:rPr>
          <w:color w:val="000000" w:themeColor="text1"/>
          <w:vertAlign w:val="subscript"/>
        </w:rPr>
        <w:t xml:space="preserve"> </w:t>
      </w:r>
      <w:r w:rsidR="001C1C11" w:rsidRPr="009027FE">
        <w:rPr>
          <w:color w:val="000000" w:themeColor="text1"/>
        </w:rPr>
        <w:t>(</w:t>
      </w:r>
      <w:r w:rsidR="001C1C11" w:rsidRPr="009027FE">
        <w:rPr>
          <w:color w:val="000000" w:themeColor="text1"/>
        </w:rPr>
        <w:sym w:font="Symbol" w:char="F06D"/>
      </w:r>
      <w:r w:rsidR="001C1C11">
        <w:rPr>
          <w:color w:val="000000" w:themeColor="text1"/>
        </w:rPr>
        <w:t xml:space="preserve">mol </w:t>
      </w:r>
      <w:r w:rsidR="001C1C11" w:rsidRPr="009027FE">
        <w:rPr>
          <w:color w:val="000000" w:themeColor="text1"/>
        </w:rPr>
        <w:t>L</w:t>
      </w:r>
      <w:r w:rsidR="001C1C11" w:rsidRPr="001C1C11">
        <w:rPr>
          <w:color w:val="000000" w:themeColor="text1"/>
          <w:vertAlign w:val="superscript"/>
        </w:rPr>
        <w:t>-1</w:t>
      </w:r>
      <w:r w:rsidR="001C1C11" w:rsidRPr="009027FE">
        <w:rPr>
          <w:color w:val="000000" w:themeColor="text1"/>
        </w:rPr>
        <w:t xml:space="preserve"> d</w:t>
      </w:r>
      <w:r w:rsidR="001C1C11" w:rsidRPr="001C1C11">
        <w:rPr>
          <w:color w:val="000000" w:themeColor="text1"/>
          <w:vertAlign w:val="superscript"/>
        </w:rPr>
        <w:t>-1</w:t>
      </w:r>
      <w:r w:rsidRPr="009027FE">
        <w:rPr>
          <w:color w:val="000000" w:themeColor="text1"/>
        </w:rPr>
        <w:t xml:space="preserve">) are the </w:t>
      </w:r>
      <w:r w:rsidR="009027FE" w:rsidRPr="009027FE">
        <w:rPr>
          <w:color w:val="000000" w:themeColor="text1"/>
        </w:rPr>
        <w:t xml:space="preserve">liquid phase concentrations of </w:t>
      </w:r>
      <w:r w:rsidRPr="009027FE">
        <w:rPr>
          <w:color w:val="000000" w:themeColor="text1"/>
        </w:rPr>
        <w:t>toluene or TCE measured in the influent and the effluent</w:t>
      </w:r>
      <w:r w:rsidR="009027FE" w:rsidRPr="009027FE">
        <w:rPr>
          <w:color w:val="000000" w:themeColor="text1"/>
        </w:rPr>
        <w:t xml:space="preserve"> respectively</w:t>
      </w:r>
      <w:r w:rsidRPr="009027FE">
        <w:rPr>
          <w:color w:val="000000" w:themeColor="text1"/>
        </w:rPr>
        <w:t xml:space="preserve">, </w:t>
      </w:r>
      <w:proofErr w:type="spellStart"/>
      <w:r w:rsidRPr="009027FE">
        <w:rPr>
          <w:color w:val="000000" w:themeColor="text1"/>
        </w:rPr>
        <w:t>V</w:t>
      </w:r>
      <w:r w:rsidRPr="009027FE">
        <w:rPr>
          <w:color w:val="000000" w:themeColor="text1"/>
          <w:vertAlign w:val="subscript"/>
        </w:rPr>
        <w:t>r</w:t>
      </w:r>
      <w:proofErr w:type="spellEnd"/>
      <w:r w:rsidRPr="009027FE">
        <w:rPr>
          <w:color w:val="000000" w:themeColor="text1"/>
        </w:rPr>
        <w:t xml:space="preserve"> (L) is the volume of the reactor and Q (L d</w:t>
      </w:r>
      <w:r w:rsidR="009027FE" w:rsidRPr="009027FE">
        <w:rPr>
          <w:color w:val="000000" w:themeColor="text1"/>
          <w:vertAlign w:val="superscript"/>
        </w:rPr>
        <w:t>-1</w:t>
      </w:r>
      <w:r w:rsidRPr="009027FE">
        <w:rPr>
          <w:color w:val="000000" w:themeColor="text1"/>
        </w:rPr>
        <w:t xml:space="preserve">) is the </w:t>
      </w:r>
      <w:r w:rsidR="009027FE" w:rsidRPr="009027FE">
        <w:rPr>
          <w:color w:val="000000" w:themeColor="text1"/>
        </w:rPr>
        <w:t xml:space="preserve">inlet </w:t>
      </w:r>
      <w:r w:rsidRPr="009027FE">
        <w:rPr>
          <w:color w:val="000000" w:themeColor="text1"/>
        </w:rPr>
        <w:t>flow rate.</w:t>
      </w:r>
    </w:p>
    <w:p w14:paraId="2F0629B8" w14:textId="77777777" w:rsidR="009027FE" w:rsidRDefault="009027FE" w:rsidP="00F603F9">
      <w:pPr>
        <w:tabs>
          <w:tab w:val="left" w:pos="709"/>
        </w:tabs>
        <w:autoSpaceDE w:val="0"/>
        <w:autoSpaceDN w:val="0"/>
        <w:rPr>
          <w:color w:val="4F81BD" w:themeColor="accent1"/>
        </w:rPr>
      </w:pPr>
    </w:p>
    <w:p w14:paraId="5660888F" w14:textId="3B479A4C" w:rsidR="00F603F9" w:rsidRDefault="00F603F9" w:rsidP="00F603F9">
      <w:pPr>
        <w:tabs>
          <w:tab w:val="left" w:pos="709"/>
        </w:tabs>
        <w:autoSpaceDE w:val="0"/>
        <w:autoSpaceDN w:val="0"/>
        <w:rPr>
          <w:color w:val="000000" w:themeColor="text1"/>
        </w:rPr>
      </w:pPr>
      <w:r w:rsidRPr="009027FE">
        <w:rPr>
          <w:color w:val="000000" w:themeColor="text1"/>
        </w:rPr>
        <w:t xml:space="preserve">Similarly, the formation rate of </w:t>
      </w:r>
      <w:r w:rsidR="009027FE" w:rsidRPr="009027FE">
        <w:rPr>
          <w:color w:val="000000" w:themeColor="text1"/>
        </w:rPr>
        <w:t xml:space="preserve">the </w:t>
      </w:r>
      <w:r w:rsidRPr="009027FE">
        <w:rPr>
          <w:color w:val="000000" w:themeColor="text1"/>
        </w:rPr>
        <w:t xml:space="preserve">reductive dechlorination products </w:t>
      </w:r>
      <w:proofErr w:type="spellStart"/>
      <w:r w:rsidRPr="009027FE">
        <w:rPr>
          <w:i/>
          <w:color w:val="000000" w:themeColor="text1"/>
        </w:rPr>
        <w:t>q</w:t>
      </w:r>
      <w:r w:rsidRPr="009027FE">
        <w:rPr>
          <w:i/>
          <w:color w:val="000000" w:themeColor="text1"/>
          <w:vertAlign w:val="subscript"/>
        </w:rPr>
        <w:t>RD</w:t>
      </w:r>
      <w:proofErr w:type="spellEnd"/>
      <w:r w:rsidRPr="009027FE">
        <w:rPr>
          <w:color w:val="000000" w:themeColor="text1"/>
        </w:rPr>
        <w:t xml:space="preserve"> (</w:t>
      </w:r>
      <w:r w:rsidRPr="009027FE">
        <w:rPr>
          <w:color w:val="000000" w:themeColor="text1"/>
        </w:rPr>
        <w:sym w:font="Symbol" w:char="F06D"/>
      </w:r>
      <w:proofErr w:type="spellStart"/>
      <w:r w:rsidR="001C1C11">
        <w:rPr>
          <w:color w:val="000000" w:themeColor="text1"/>
        </w:rPr>
        <w:t>eq</w:t>
      </w:r>
      <w:proofErr w:type="spellEnd"/>
      <w:r w:rsidR="001C1C11">
        <w:rPr>
          <w:color w:val="000000" w:themeColor="text1"/>
        </w:rPr>
        <w:t xml:space="preserve"> </w:t>
      </w:r>
      <w:r w:rsidRPr="009027FE">
        <w:rPr>
          <w:color w:val="000000" w:themeColor="text1"/>
        </w:rPr>
        <w:t>L</w:t>
      </w:r>
      <w:r w:rsidR="001C1C11">
        <w:rPr>
          <w:color w:val="000000" w:themeColor="text1"/>
          <w:vertAlign w:val="superscript"/>
        </w:rPr>
        <w:t>-1</w:t>
      </w:r>
      <w:r w:rsidRPr="009027FE">
        <w:rPr>
          <w:color w:val="000000" w:themeColor="text1"/>
        </w:rPr>
        <w:t xml:space="preserve"> d</w:t>
      </w:r>
      <w:r w:rsidR="001C1C11">
        <w:rPr>
          <w:color w:val="000000" w:themeColor="text1"/>
          <w:vertAlign w:val="superscript"/>
        </w:rPr>
        <w:t>-1</w:t>
      </w:r>
      <w:r w:rsidRPr="009027FE">
        <w:rPr>
          <w:color w:val="000000" w:themeColor="text1"/>
        </w:rPr>
        <w:t xml:space="preserve">) </w:t>
      </w:r>
      <w:r w:rsidR="009027FE" w:rsidRPr="009027FE">
        <w:rPr>
          <w:color w:val="000000" w:themeColor="text1"/>
        </w:rPr>
        <w:t xml:space="preserve">generated from TCE </w:t>
      </w:r>
      <w:r w:rsidRPr="009027FE">
        <w:rPr>
          <w:color w:val="000000" w:themeColor="text1"/>
        </w:rPr>
        <w:t>was calculated as</w:t>
      </w:r>
      <w:r w:rsidR="009027FE" w:rsidRPr="009027FE">
        <w:rPr>
          <w:color w:val="000000" w:themeColor="text1"/>
        </w:rPr>
        <w:t xml:space="preserve"> follows</w:t>
      </w:r>
      <w:r w:rsidRPr="009027FE">
        <w:rPr>
          <w:color w:val="000000" w:themeColor="text1"/>
        </w:rPr>
        <w:t>:</w:t>
      </w:r>
    </w:p>
    <w:tbl>
      <w:tblPr>
        <w:tblW w:w="5000" w:type="pct"/>
        <w:tblLook w:val="04A0" w:firstRow="1" w:lastRow="0" w:firstColumn="1" w:lastColumn="0" w:noHBand="0" w:noVBand="1"/>
      </w:tblPr>
      <w:tblGrid>
        <w:gridCol w:w="7990"/>
        <w:gridCol w:w="797"/>
      </w:tblGrid>
      <w:tr w:rsidR="009027FE" w:rsidRPr="009027FE" w14:paraId="6A248B78" w14:textId="77777777" w:rsidTr="00D6242F">
        <w:tc>
          <w:tcPr>
            <w:tcW w:w="8188" w:type="dxa"/>
            <w:shd w:val="clear" w:color="auto" w:fill="auto"/>
            <w:vAlign w:val="center"/>
          </w:tcPr>
          <w:p w14:paraId="7E3A6663" w14:textId="502B98F4" w:rsidR="009027FE" w:rsidRPr="009027FE" w:rsidRDefault="00B05BDB" w:rsidP="00D6242F">
            <w:pPr>
              <w:pStyle w:val="CETEquation"/>
              <w:rPr>
                <w:rFonts w:cs="Arial"/>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q</m:t>
                    </m:r>
                  </m:e>
                  <m:sub>
                    <m:r>
                      <w:rPr>
                        <w:rFonts w:ascii="Cambria Math" w:hAnsi="Cambria Math"/>
                        <w:color w:val="000000" w:themeColor="text1"/>
                      </w:rPr>
                      <m:t>RD</m:t>
                    </m:r>
                  </m:sub>
                </m:sSub>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out</m:t>
                        </m:r>
                        <m:r>
                          <m:rPr>
                            <m:sty m:val="p"/>
                          </m:rPr>
                          <w:rPr>
                            <w:rFonts w:ascii="Cambria Math" w:hAnsi="Cambria Math"/>
                            <w:color w:val="000000" w:themeColor="text1"/>
                          </w:rPr>
                          <m:t>,</m:t>
                        </m:r>
                        <m:r>
                          <w:rPr>
                            <w:rFonts w:ascii="Cambria Math" w:hAnsi="Cambria Math"/>
                            <w:color w:val="000000" w:themeColor="text1"/>
                          </w:rPr>
                          <m:t>DCE</m:t>
                        </m:r>
                      </m:sub>
                    </m:sSub>
                    <m:r>
                      <m:rPr>
                        <m:sty m:val="p"/>
                      </m:rPr>
                      <w:rPr>
                        <w:rFonts w:ascii="Cambria Math" w:hAnsi="Cambria Math"/>
                        <w:color w:val="000000" w:themeColor="text1"/>
                      </w:rPr>
                      <m:t xml:space="preserve"> ×2 +</m:t>
                    </m:r>
                    <m:sSub>
                      <m:sSubPr>
                        <m:ctrlPr>
                          <w:rPr>
                            <w:rFonts w:ascii="Cambria Math" w:hAnsi="Cambria Math"/>
                            <w:color w:val="000000" w:themeColor="text1"/>
                          </w:rPr>
                        </m:ctrlPr>
                      </m:sSubPr>
                      <m:e>
                        <m:r>
                          <m:rPr>
                            <m:sty m:val="p"/>
                          </m:rPr>
                          <w:rPr>
                            <w:rFonts w:ascii="Cambria Math" w:hAnsi="Cambria Math"/>
                            <w:color w:val="000000" w:themeColor="text1"/>
                          </w:rPr>
                          <m:t xml:space="preserve"> </m:t>
                        </m:r>
                        <m:r>
                          <w:rPr>
                            <w:rFonts w:ascii="Cambria Math" w:hAnsi="Cambria Math"/>
                            <w:color w:val="000000" w:themeColor="text1"/>
                          </w:rPr>
                          <m:t>C</m:t>
                        </m:r>
                      </m:e>
                      <m:sub>
                        <m:r>
                          <w:rPr>
                            <w:rFonts w:ascii="Cambria Math" w:hAnsi="Cambria Math"/>
                            <w:color w:val="000000" w:themeColor="text1"/>
                          </w:rPr>
                          <m:t>out</m:t>
                        </m:r>
                        <m:r>
                          <m:rPr>
                            <m:sty m:val="p"/>
                          </m:rPr>
                          <w:rPr>
                            <w:rFonts w:ascii="Cambria Math" w:hAnsi="Cambria Math"/>
                            <w:color w:val="000000" w:themeColor="text1"/>
                          </w:rPr>
                          <m:t>,</m:t>
                        </m:r>
                        <m:r>
                          <w:rPr>
                            <w:rFonts w:ascii="Cambria Math" w:hAnsi="Cambria Math"/>
                            <w:color w:val="000000" w:themeColor="text1"/>
                          </w:rPr>
                          <m:t>VC</m:t>
                        </m:r>
                      </m:sub>
                    </m:sSub>
                    <m:r>
                      <m:rPr>
                        <m:sty m:val="p"/>
                      </m:rPr>
                      <w:rPr>
                        <w:rFonts w:ascii="Cambria Math" w:hAnsi="Cambria Math"/>
                        <w:color w:val="000000" w:themeColor="text1"/>
                      </w:rPr>
                      <m:t xml:space="preserve"> ×4 + </m:t>
                    </m:r>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out</m:t>
                        </m:r>
                        <m:r>
                          <m:rPr>
                            <m:sty m:val="p"/>
                          </m:rPr>
                          <w:rPr>
                            <w:rFonts w:ascii="Cambria Math" w:hAnsi="Cambria Math"/>
                            <w:color w:val="000000" w:themeColor="text1"/>
                          </w:rPr>
                          <m:t>,</m:t>
                        </m:r>
                        <m:r>
                          <w:rPr>
                            <w:rFonts w:ascii="Cambria Math" w:hAnsi="Cambria Math"/>
                            <w:color w:val="000000" w:themeColor="text1"/>
                          </w:rPr>
                          <m:t>ETH</m:t>
                        </m:r>
                        <m:r>
                          <m:rPr>
                            <m:sty m:val="p"/>
                          </m:rPr>
                          <w:rPr>
                            <w:rFonts w:ascii="Cambria Math" w:hAnsi="Cambria Math"/>
                            <w:color w:val="000000" w:themeColor="text1"/>
                          </w:rPr>
                          <m:t xml:space="preserve"> </m:t>
                        </m:r>
                      </m:sub>
                    </m:sSub>
                    <m:r>
                      <m:rPr>
                        <m:sty m:val="p"/>
                      </m:rPr>
                      <w:rPr>
                        <w:rFonts w:ascii="Cambria Math" w:hAnsi="Cambria Math"/>
                        <w:color w:val="000000" w:themeColor="text1"/>
                      </w:rPr>
                      <m:t>×6</m:t>
                    </m:r>
                  </m:num>
                  <m:den>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r</m:t>
                        </m:r>
                      </m:sub>
                    </m:sSub>
                  </m:den>
                </m:f>
                <m:r>
                  <m:rPr>
                    <m:sty m:val="p"/>
                  </m:rPr>
                  <w:rPr>
                    <w:rFonts w:ascii="Cambria Math" w:hAnsi="Cambria Math"/>
                    <w:color w:val="000000" w:themeColor="text1"/>
                  </w:rPr>
                  <m:t xml:space="preserve"> </m:t>
                </m:r>
                <m:r>
                  <w:rPr>
                    <w:rFonts w:ascii="Cambria Math" w:hAnsi="Cambria Math"/>
                    <w:color w:val="000000" w:themeColor="text1"/>
                  </w:rPr>
                  <m:t>Q</m:t>
                </m:r>
              </m:oMath>
            </m:oMathPara>
          </w:p>
        </w:tc>
        <w:tc>
          <w:tcPr>
            <w:tcW w:w="815" w:type="dxa"/>
            <w:shd w:val="clear" w:color="auto" w:fill="auto"/>
            <w:vAlign w:val="center"/>
          </w:tcPr>
          <w:p w14:paraId="2176EB10" w14:textId="5C04918F" w:rsidR="009027FE" w:rsidRPr="009027FE" w:rsidRDefault="009027FE" w:rsidP="009027FE">
            <w:pPr>
              <w:pStyle w:val="CETEquation"/>
              <w:jc w:val="right"/>
              <w:rPr>
                <w:color w:val="000000" w:themeColor="text1"/>
              </w:rPr>
            </w:pPr>
            <w:r w:rsidRPr="009027FE">
              <w:rPr>
                <w:color w:val="000000" w:themeColor="text1"/>
              </w:rPr>
              <w:t>(</w:t>
            </w:r>
            <w:r>
              <w:rPr>
                <w:color w:val="000000" w:themeColor="text1"/>
              </w:rPr>
              <w:t>2</w:t>
            </w:r>
            <w:r w:rsidRPr="009027FE">
              <w:rPr>
                <w:color w:val="000000" w:themeColor="text1"/>
              </w:rPr>
              <w:t>)</w:t>
            </w:r>
          </w:p>
        </w:tc>
      </w:tr>
    </w:tbl>
    <w:p w14:paraId="1AD1B044" w14:textId="63339CCC" w:rsidR="00F603F9" w:rsidRPr="00EF1E9B" w:rsidRDefault="009027FE" w:rsidP="00F603F9">
      <w:pPr>
        <w:pStyle w:val="Paragrafoelenco"/>
        <w:tabs>
          <w:tab w:val="left" w:pos="709"/>
        </w:tabs>
        <w:autoSpaceDE w:val="0"/>
        <w:autoSpaceDN w:val="0"/>
        <w:ind w:left="0"/>
        <w:rPr>
          <w:color w:val="000000" w:themeColor="text1"/>
        </w:rPr>
      </w:pPr>
      <w:r w:rsidRPr="00EF1E9B">
        <w:rPr>
          <w:color w:val="000000" w:themeColor="text1"/>
        </w:rPr>
        <w:t>w</w:t>
      </w:r>
      <w:r w:rsidR="00F603F9" w:rsidRPr="00EF1E9B">
        <w:rPr>
          <w:color w:val="000000" w:themeColor="text1"/>
        </w:rPr>
        <w:t xml:space="preserve">here </w:t>
      </w:r>
      <w:proofErr w:type="spellStart"/>
      <w:proofErr w:type="gramStart"/>
      <w:r w:rsidR="00F603F9" w:rsidRPr="00EF1E9B">
        <w:rPr>
          <w:color w:val="000000" w:themeColor="text1"/>
        </w:rPr>
        <w:t>C</w:t>
      </w:r>
      <w:r w:rsidR="00F603F9" w:rsidRPr="00EF1E9B">
        <w:rPr>
          <w:color w:val="000000" w:themeColor="text1"/>
          <w:vertAlign w:val="subscript"/>
        </w:rPr>
        <w:t>out</w:t>
      </w:r>
      <w:r w:rsidR="00F603F9" w:rsidRPr="00EF1E9B">
        <w:rPr>
          <w:color w:val="000000" w:themeColor="text1"/>
        </w:rPr>
        <w:t>,</w:t>
      </w:r>
      <w:r w:rsidR="00F603F9" w:rsidRPr="00EF1E9B">
        <w:rPr>
          <w:color w:val="000000" w:themeColor="text1"/>
          <w:vertAlign w:val="subscript"/>
        </w:rPr>
        <w:t>DCE</w:t>
      </w:r>
      <w:proofErr w:type="spellEnd"/>
      <w:proofErr w:type="gramEnd"/>
      <w:r w:rsidR="00F603F9" w:rsidRPr="00EF1E9B">
        <w:rPr>
          <w:color w:val="000000" w:themeColor="text1"/>
        </w:rPr>
        <w:t xml:space="preserve">, </w:t>
      </w:r>
      <w:proofErr w:type="spellStart"/>
      <w:r w:rsidR="00F603F9" w:rsidRPr="00EF1E9B">
        <w:rPr>
          <w:color w:val="000000" w:themeColor="text1"/>
        </w:rPr>
        <w:t>C</w:t>
      </w:r>
      <w:r w:rsidR="00F603F9" w:rsidRPr="00EF1E9B">
        <w:rPr>
          <w:color w:val="000000" w:themeColor="text1"/>
          <w:vertAlign w:val="subscript"/>
        </w:rPr>
        <w:t>out</w:t>
      </w:r>
      <w:r w:rsidR="00F603F9" w:rsidRPr="00EF1E9B">
        <w:rPr>
          <w:color w:val="000000" w:themeColor="text1"/>
        </w:rPr>
        <w:t>,</w:t>
      </w:r>
      <w:r w:rsidR="00F603F9" w:rsidRPr="00EF1E9B">
        <w:rPr>
          <w:color w:val="000000" w:themeColor="text1"/>
          <w:vertAlign w:val="subscript"/>
        </w:rPr>
        <w:t>VC</w:t>
      </w:r>
      <w:proofErr w:type="spellEnd"/>
      <w:r w:rsidR="00F603F9" w:rsidRPr="00EF1E9B">
        <w:rPr>
          <w:color w:val="000000" w:themeColor="text1"/>
        </w:rPr>
        <w:t xml:space="preserve">, and </w:t>
      </w:r>
      <w:proofErr w:type="spellStart"/>
      <w:r w:rsidR="00F603F9" w:rsidRPr="00EF1E9B">
        <w:rPr>
          <w:color w:val="000000" w:themeColor="text1"/>
        </w:rPr>
        <w:t>C</w:t>
      </w:r>
      <w:r w:rsidR="00F603F9" w:rsidRPr="00EF1E9B">
        <w:rPr>
          <w:color w:val="000000" w:themeColor="text1"/>
          <w:vertAlign w:val="subscript"/>
        </w:rPr>
        <w:t>out</w:t>
      </w:r>
      <w:r w:rsidR="00F603F9" w:rsidRPr="00EF1E9B">
        <w:rPr>
          <w:color w:val="000000" w:themeColor="text1"/>
        </w:rPr>
        <w:t>,</w:t>
      </w:r>
      <w:r w:rsidR="00F603F9" w:rsidRPr="00EF1E9B">
        <w:rPr>
          <w:color w:val="000000" w:themeColor="text1"/>
          <w:vertAlign w:val="subscript"/>
        </w:rPr>
        <w:t>DCE</w:t>
      </w:r>
      <w:proofErr w:type="spellEnd"/>
      <w:r w:rsidR="00F603F9" w:rsidRPr="00EF1E9B">
        <w:rPr>
          <w:color w:val="000000" w:themeColor="text1"/>
        </w:rPr>
        <w:t xml:space="preserve"> </w:t>
      </w:r>
      <w:r w:rsidR="001C1C11" w:rsidRPr="009027FE">
        <w:rPr>
          <w:color w:val="000000" w:themeColor="text1"/>
        </w:rPr>
        <w:t>(</w:t>
      </w:r>
      <w:r w:rsidR="001C1C11" w:rsidRPr="009027FE">
        <w:rPr>
          <w:color w:val="000000" w:themeColor="text1"/>
        </w:rPr>
        <w:sym w:font="Symbol" w:char="F06D"/>
      </w:r>
      <w:r w:rsidR="001C1C11">
        <w:rPr>
          <w:color w:val="000000" w:themeColor="text1"/>
        </w:rPr>
        <w:t xml:space="preserve">mol </w:t>
      </w:r>
      <w:r w:rsidR="001C1C11" w:rsidRPr="009027FE">
        <w:rPr>
          <w:color w:val="000000" w:themeColor="text1"/>
        </w:rPr>
        <w:t>L</w:t>
      </w:r>
      <w:r w:rsidR="001C1C11" w:rsidRPr="001C1C11">
        <w:rPr>
          <w:color w:val="000000" w:themeColor="text1"/>
          <w:vertAlign w:val="superscript"/>
        </w:rPr>
        <w:t>-1</w:t>
      </w:r>
      <w:r w:rsidR="001C1C11" w:rsidRPr="009027FE">
        <w:rPr>
          <w:color w:val="000000" w:themeColor="text1"/>
        </w:rPr>
        <w:t xml:space="preserve"> d</w:t>
      </w:r>
      <w:r w:rsidR="001C1C11" w:rsidRPr="001C1C11">
        <w:rPr>
          <w:color w:val="000000" w:themeColor="text1"/>
          <w:vertAlign w:val="superscript"/>
        </w:rPr>
        <w:t>-1</w:t>
      </w:r>
      <w:r w:rsidR="00F603F9" w:rsidRPr="00EF1E9B">
        <w:rPr>
          <w:color w:val="000000" w:themeColor="text1"/>
        </w:rPr>
        <w:t xml:space="preserve">) are the measured </w:t>
      </w:r>
      <w:r w:rsidRPr="00EF1E9B">
        <w:rPr>
          <w:color w:val="000000" w:themeColor="text1"/>
        </w:rPr>
        <w:t xml:space="preserve">concentrations of DCE, VC and ethene in the outlet, </w:t>
      </w:r>
      <w:r w:rsidR="00F603F9" w:rsidRPr="00EF1E9B">
        <w:rPr>
          <w:color w:val="000000" w:themeColor="text1"/>
        </w:rPr>
        <w:t xml:space="preserve">and 2, 4, or 6 are the number of moles of electrons required for the formation of 1 mol of </w:t>
      </w:r>
      <w:r w:rsidRPr="00EF1E9B">
        <w:rPr>
          <w:color w:val="000000" w:themeColor="text1"/>
        </w:rPr>
        <w:t>each of these compounds</w:t>
      </w:r>
      <w:r w:rsidR="00F603F9" w:rsidRPr="00EF1E9B">
        <w:rPr>
          <w:color w:val="000000" w:themeColor="text1"/>
        </w:rPr>
        <w:t xml:space="preserve"> from TCE, respectively.</w:t>
      </w:r>
    </w:p>
    <w:p w14:paraId="1554C822" w14:textId="77777777" w:rsidR="00EF1E9B" w:rsidRDefault="00EF1E9B" w:rsidP="00F603F9">
      <w:pPr>
        <w:pStyle w:val="Paragrafoelenco"/>
        <w:tabs>
          <w:tab w:val="left" w:pos="709"/>
        </w:tabs>
        <w:autoSpaceDE w:val="0"/>
        <w:autoSpaceDN w:val="0"/>
        <w:ind w:left="0"/>
        <w:rPr>
          <w:color w:val="4F81BD" w:themeColor="accent1"/>
        </w:rPr>
      </w:pPr>
    </w:p>
    <w:p w14:paraId="7963D9B8" w14:textId="37B4C8A5" w:rsidR="00F603F9" w:rsidRPr="00EF1E9B" w:rsidRDefault="00F603F9" w:rsidP="00F603F9">
      <w:pPr>
        <w:pStyle w:val="Paragrafoelenco"/>
        <w:tabs>
          <w:tab w:val="left" w:pos="709"/>
        </w:tabs>
        <w:autoSpaceDE w:val="0"/>
        <w:autoSpaceDN w:val="0"/>
        <w:ind w:left="0"/>
        <w:rPr>
          <w:color w:val="000000" w:themeColor="text1"/>
        </w:rPr>
      </w:pPr>
      <w:r w:rsidRPr="00EF1E9B">
        <w:rPr>
          <w:color w:val="000000" w:themeColor="text1"/>
        </w:rPr>
        <w:t xml:space="preserve">The toluene or TCE removal </w:t>
      </w:r>
      <w:r w:rsidRPr="00EF1E9B">
        <w:rPr>
          <w:color w:val="000000" w:themeColor="text1"/>
        </w:rPr>
        <w:sym w:font="Symbol" w:char="F068"/>
      </w:r>
      <w:r w:rsidRPr="00EF1E9B">
        <w:rPr>
          <w:color w:val="000000" w:themeColor="text1"/>
          <w:vertAlign w:val="subscript"/>
        </w:rPr>
        <w:t>%</w:t>
      </w:r>
      <w:r w:rsidRPr="00EF1E9B">
        <w:rPr>
          <w:color w:val="000000" w:themeColor="text1"/>
        </w:rPr>
        <w:t xml:space="preserve"> </w:t>
      </w:r>
      <w:r w:rsidR="00EF1E9B" w:rsidRPr="00EF1E9B">
        <w:rPr>
          <w:color w:val="000000" w:themeColor="text1"/>
        </w:rPr>
        <w:t>was</w:t>
      </w:r>
      <w:r w:rsidRPr="00EF1E9B">
        <w:rPr>
          <w:color w:val="000000" w:themeColor="text1"/>
        </w:rPr>
        <w:t xml:space="preserve"> calculated </w:t>
      </w:r>
      <w:r w:rsidR="00EF1E9B" w:rsidRPr="00EF1E9B">
        <w:rPr>
          <w:color w:val="000000" w:themeColor="text1"/>
        </w:rPr>
        <w:t>using the following equation</w:t>
      </w:r>
      <w:r w:rsidRPr="00EF1E9B">
        <w:rPr>
          <w:color w:val="000000" w:themeColor="text1"/>
        </w:rPr>
        <w:t>:</w:t>
      </w:r>
    </w:p>
    <w:tbl>
      <w:tblPr>
        <w:tblW w:w="5000" w:type="pct"/>
        <w:tblLook w:val="04A0" w:firstRow="1" w:lastRow="0" w:firstColumn="1" w:lastColumn="0" w:noHBand="0" w:noVBand="1"/>
      </w:tblPr>
      <w:tblGrid>
        <w:gridCol w:w="7983"/>
        <w:gridCol w:w="804"/>
      </w:tblGrid>
      <w:tr w:rsidR="00EF1E9B" w:rsidRPr="00EF1E9B" w14:paraId="6263AE80" w14:textId="77777777" w:rsidTr="00D6242F">
        <w:tc>
          <w:tcPr>
            <w:tcW w:w="8188" w:type="dxa"/>
            <w:shd w:val="clear" w:color="auto" w:fill="auto"/>
            <w:vAlign w:val="center"/>
          </w:tcPr>
          <w:p w14:paraId="2F3ADA6A" w14:textId="3870A2E0" w:rsidR="00EF1E9B" w:rsidRPr="00EF1E9B" w:rsidRDefault="00B05BDB" w:rsidP="00D6242F">
            <w:pPr>
              <w:pStyle w:val="CETEquation"/>
              <w:rPr>
                <w:rFonts w:cs="Arial"/>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w:sym w:font="Symbol" w:char="F068"/>
                  </m:r>
                </m:e>
                <m:sub>
                  <m:r>
                    <m:rPr>
                      <m:sty m:val="p"/>
                    </m:rPr>
                    <w:rPr>
                      <w:rFonts w:ascii="Cambria Math" w:hAnsi="Cambria Math"/>
                      <w:color w:val="000000" w:themeColor="text1"/>
                    </w:rPr>
                    <m:t>%</m:t>
                  </m:r>
                </m:sub>
              </m:sSub>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in</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out</m:t>
                      </m:r>
                    </m:sub>
                  </m:sSub>
                </m:num>
                <m:den>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in</m:t>
                      </m:r>
                    </m:sub>
                  </m:sSub>
                </m:den>
              </m:f>
              <m:r>
                <m:rPr>
                  <m:sty m:val="p"/>
                </m:rPr>
                <w:rPr>
                  <w:rFonts w:ascii="Cambria Math" w:hAnsi="Cambria Math"/>
                  <w:color w:val="000000" w:themeColor="text1"/>
                </w:rPr>
                <m:t>×100</m:t>
              </m:r>
            </m:oMath>
            <w:r w:rsidR="00EF1E9B" w:rsidRPr="00EF1E9B">
              <w:rPr>
                <w:color w:val="000000" w:themeColor="text1"/>
              </w:rPr>
              <w:t xml:space="preserve"> </w:t>
            </w:r>
          </w:p>
        </w:tc>
        <w:tc>
          <w:tcPr>
            <w:tcW w:w="815" w:type="dxa"/>
            <w:shd w:val="clear" w:color="auto" w:fill="auto"/>
            <w:vAlign w:val="center"/>
          </w:tcPr>
          <w:p w14:paraId="7FD9D23F" w14:textId="1A66525A" w:rsidR="00EF1E9B" w:rsidRPr="00EF1E9B" w:rsidRDefault="00EF1E9B" w:rsidP="00D6242F">
            <w:pPr>
              <w:pStyle w:val="CETEquation"/>
              <w:jc w:val="right"/>
              <w:rPr>
                <w:color w:val="000000" w:themeColor="text1"/>
              </w:rPr>
            </w:pPr>
            <w:r w:rsidRPr="00EF1E9B">
              <w:rPr>
                <w:color w:val="000000" w:themeColor="text1"/>
              </w:rPr>
              <w:t>(3)</w:t>
            </w:r>
          </w:p>
        </w:tc>
      </w:tr>
    </w:tbl>
    <w:p w14:paraId="30DD7F81" w14:textId="4A9C07F6" w:rsidR="00F603F9" w:rsidRPr="00442185" w:rsidRDefault="00F603F9" w:rsidP="00F603F9">
      <w:pPr>
        <w:pStyle w:val="Paragrafoelenco"/>
        <w:tabs>
          <w:tab w:val="left" w:pos="709"/>
        </w:tabs>
        <w:autoSpaceDE w:val="0"/>
        <w:autoSpaceDN w:val="0"/>
        <w:ind w:left="0"/>
        <w:rPr>
          <w:color w:val="000000" w:themeColor="text1"/>
        </w:rPr>
      </w:pPr>
      <w:r w:rsidRPr="00442185">
        <w:rPr>
          <w:color w:val="000000" w:themeColor="text1"/>
        </w:rPr>
        <w:t>The columbic efficiency (</w:t>
      </w:r>
      <w:r w:rsidRPr="00442185">
        <w:rPr>
          <w:i/>
          <w:color w:val="000000" w:themeColor="text1"/>
        </w:rPr>
        <w:t>CE</w:t>
      </w:r>
      <w:r w:rsidR="00EF1E9B" w:rsidRPr="00442185">
        <w:rPr>
          <w:color w:val="000000" w:themeColor="text1"/>
        </w:rPr>
        <w:t>) was calculated as</w:t>
      </w:r>
      <w:r w:rsidRPr="00442185">
        <w:rPr>
          <w:color w:val="000000" w:themeColor="text1"/>
        </w:rPr>
        <w:t xml:space="preserve"> ratio between</w:t>
      </w:r>
      <w:r w:rsidR="00EF1E9B" w:rsidRPr="00442185">
        <w:rPr>
          <w:color w:val="000000" w:themeColor="text1"/>
        </w:rPr>
        <w:t xml:space="preserve"> the</w:t>
      </w:r>
      <w:r w:rsidRPr="00442185">
        <w:rPr>
          <w:color w:val="000000" w:themeColor="text1"/>
        </w:rPr>
        <w:t xml:space="preserve"> charge </w:t>
      </w:r>
      <w:r w:rsidR="00EF1E9B" w:rsidRPr="00442185">
        <w:rPr>
          <w:color w:val="000000" w:themeColor="text1"/>
        </w:rPr>
        <w:t>(</w:t>
      </w:r>
      <w:proofErr w:type="gramStart"/>
      <w:r w:rsidR="00EF1E9B" w:rsidRPr="00442185">
        <w:rPr>
          <w:color w:val="000000" w:themeColor="text1"/>
        </w:rPr>
        <w:t>i.e.</w:t>
      </w:r>
      <w:proofErr w:type="gramEnd"/>
      <w:r w:rsidRPr="00442185">
        <w:rPr>
          <w:color w:val="000000" w:themeColor="text1"/>
        </w:rPr>
        <w:t xml:space="preserve"> integral of the electric current over time</w:t>
      </w:r>
      <w:r w:rsidR="00442185" w:rsidRPr="00442185">
        <w:rPr>
          <w:color w:val="000000" w:themeColor="text1"/>
        </w:rPr>
        <w:t>)</w:t>
      </w:r>
      <w:r w:rsidRPr="00442185">
        <w:rPr>
          <w:color w:val="000000" w:themeColor="text1"/>
        </w:rPr>
        <w:t xml:space="preserve"> and the </w:t>
      </w:r>
      <w:r w:rsidR="00442185" w:rsidRPr="00442185">
        <w:rPr>
          <w:color w:val="000000" w:themeColor="text1"/>
        </w:rPr>
        <w:t>amount of electrons</w:t>
      </w:r>
      <w:r w:rsidRPr="00442185">
        <w:rPr>
          <w:color w:val="000000" w:themeColor="text1"/>
        </w:rPr>
        <w:t xml:space="preserve"> deriving from the</w:t>
      </w:r>
      <w:r w:rsidR="00442185" w:rsidRPr="00442185">
        <w:rPr>
          <w:color w:val="000000" w:themeColor="text1"/>
        </w:rPr>
        <w:t xml:space="preserve"> compete</w:t>
      </w:r>
      <w:r w:rsidRPr="00442185">
        <w:rPr>
          <w:color w:val="000000" w:themeColor="text1"/>
        </w:rPr>
        <w:t xml:space="preserve"> oxidation of removed toluene</w:t>
      </w:r>
      <w:r w:rsidR="00442185" w:rsidRPr="00442185">
        <w:rPr>
          <w:color w:val="000000" w:themeColor="text1"/>
        </w:rPr>
        <w:t xml:space="preserve"> per day</w:t>
      </w:r>
      <w:r w:rsidRPr="00442185">
        <w:rPr>
          <w:color w:val="000000" w:themeColor="text1"/>
        </w:rPr>
        <w:t xml:space="preserve">, </w:t>
      </w:r>
      <w:r w:rsidR="00442185" w:rsidRPr="00442185">
        <w:rPr>
          <w:color w:val="000000" w:themeColor="text1"/>
        </w:rPr>
        <w:t>as expressed in</w:t>
      </w:r>
      <w:r w:rsidRPr="00442185">
        <w:rPr>
          <w:color w:val="000000" w:themeColor="text1"/>
        </w:rPr>
        <w:t xml:space="preserve"> the following equation:</w:t>
      </w:r>
    </w:p>
    <w:tbl>
      <w:tblPr>
        <w:tblW w:w="5000" w:type="pct"/>
        <w:tblLook w:val="04A0" w:firstRow="1" w:lastRow="0" w:firstColumn="1" w:lastColumn="0" w:noHBand="0" w:noVBand="1"/>
      </w:tblPr>
      <w:tblGrid>
        <w:gridCol w:w="7986"/>
        <w:gridCol w:w="801"/>
      </w:tblGrid>
      <w:tr w:rsidR="003B5EAC" w:rsidRPr="003B5EAC" w14:paraId="198DC680" w14:textId="77777777" w:rsidTr="00D6242F">
        <w:tc>
          <w:tcPr>
            <w:tcW w:w="8188" w:type="dxa"/>
            <w:shd w:val="clear" w:color="auto" w:fill="auto"/>
            <w:vAlign w:val="center"/>
          </w:tcPr>
          <w:p w14:paraId="5E251CE1" w14:textId="6359F27C" w:rsidR="003B5EAC" w:rsidRPr="003B5EAC" w:rsidRDefault="003B5EAC" w:rsidP="00D6242F">
            <w:pPr>
              <w:pStyle w:val="CETEquation"/>
              <w:rPr>
                <w:rFonts w:cs="Arial"/>
                <w:color w:val="000000" w:themeColor="text1"/>
              </w:rPr>
            </w:pPr>
            <m:oMathPara>
              <m:oMathParaPr>
                <m:jc m:val="left"/>
              </m:oMathParaPr>
              <m:oMath>
                <m:r>
                  <w:rPr>
                    <w:rFonts w:ascii="Cambria Math" w:hAnsi="Cambria Math"/>
                    <w:color w:val="000000" w:themeColor="text1"/>
                  </w:rPr>
                  <m:t>CE</m:t>
                </m:r>
                <m:r>
                  <m:rPr>
                    <m:sty m:val="p"/>
                  </m:rPr>
                  <w:rPr>
                    <w:rFonts w:ascii="Cambria Math" w:hAnsi="Cambria Math"/>
                    <w:color w:val="000000" w:themeColor="text1"/>
                  </w:rPr>
                  <m:t>(%)=</m:t>
                </m:r>
                <m:f>
                  <m:fPr>
                    <m:ctrlPr>
                      <w:rPr>
                        <w:rFonts w:ascii="Cambria Math" w:hAnsi="Cambria Math"/>
                        <w:color w:val="000000" w:themeColor="text1"/>
                      </w:rPr>
                    </m:ctrlPr>
                  </m:fPr>
                  <m:num>
                    <m:nary>
                      <m:naryPr>
                        <m:limLoc m:val="undOvr"/>
                        <m:subHide m:val="1"/>
                        <m:supHide m:val="1"/>
                        <m:ctrlPr>
                          <w:rPr>
                            <w:rFonts w:ascii="Cambria Math" w:hAnsi="Cambria Math"/>
                            <w:color w:val="000000" w:themeColor="text1"/>
                          </w:rPr>
                        </m:ctrlPr>
                      </m:naryPr>
                      <m:sub/>
                      <m:sup/>
                      <m:e>
                        <m:r>
                          <w:rPr>
                            <w:rFonts w:ascii="Cambria Math" w:hAnsi="Cambria Math"/>
                            <w:color w:val="000000" w:themeColor="text1"/>
                          </w:rPr>
                          <m:t>i</m:t>
                        </m:r>
                      </m:e>
                    </m:nary>
                    <m:d>
                      <m:dPr>
                        <m:ctrlPr>
                          <w:rPr>
                            <w:rFonts w:ascii="Cambria Math" w:hAnsi="Cambria Math"/>
                            <w:color w:val="000000" w:themeColor="text1"/>
                          </w:rPr>
                        </m:ctrlPr>
                      </m:dPr>
                      <m:e>
                        <m:r>
                          <w:rPr>
                            <w:rFonts w:ascii="Cambria Math" w:hAnsi="Cambria Math"/>
                            <w:color w:val="000000" w:themeColor="text1"/>
                          </w:rPr>
                          <m:t>t</m:t>
                        </m:r>
                      </m:e>
                    </m:d>
                    <m:r>
                      <m:rPr>
                        <m:sty m:val="p"/>
                      </m:rPr>
                      <w:rPr>
                        <w:rFonts w:ascii="Cambria Math" w:hAnsi="Cambria Math"/>
                        <w:color w:val="000000" w:themeColor="text1"/>
                      </w:rPr>
                      <m:t>×</m:t>
                    </m:r>
                    <m:r>
                      <w:rPr>
                        <w:rFonts w:ascii="Cambria Math" w:hAnsi="Cambria Math"/>
                        <w:color w:val="000000" w:themeColor="text1"/>
                      </w:rPr>
                      <m:t>dt ×60×60×24</m:t>
                    </m:r>
                  </m:num>
                  <m:den>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Tol</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Tol</m:t>
                            </m:r>
                          </m:sub>
                        </m:sSub>
                      </m:e>
                    </m:d>
                    <m:r>
                      <m:rPr>
                        <m:sty m:val="p"/>
                      </m:rPr>
                      <w:rPr>
                        <w:rFonts w:ascii="Cambria Math" w:hAnsi="Cambria Math"/>
                        <w:color w:val="000000" w:themeColor="text1"/>
                      </w:rPr>
                      <m:t>×</m:t>
                    </m:r>
                    <m:r>
                      <w:rPr>
                        <w:rFonts w:ascii="Cambria Math" w:hAnsi="Cambria Math"/>
                        <w:color w:val="000000" w:themeColor="text1"/>
                      </w:rPr>
                      <m:t>F</m:t>
                    </m:r>
                  </m:den>
                </m:f>
                <m:r>
                  <m:rPr>
                    <m:sty m:val="p"/>
                  </m:rPr>
                  <w:rPr>
                    <w:rFonts w:ascii="Cambria Math" w:hAnsi="Cambria Math"/>
                    <w:color w:val="000000" w:themeColor="text1"/>
                  </w:rPr>
                  <m:t xml:space="preserve"> ×100</m:t>
                </m:r>
              </m:oMath>
            </m:oMathPara>
          </w:p>
        </w:tc>
        <w:tc>
          <w:tcPr>
            <w:tcW w:w="815" w:type="dxa"/>
            <w:shd w:val="clear" w:color="auto" w:fill="auto"/>
            <w:vAlign w:val="center"/>
          </w:tcPr>
          <w:p w14:paraId="50D1BEB3" w14:textId="026E2CD8" w:rsidR="003B5EAC" w:rsidRPr="003B5EAC" w:rsidRDefault="003B5EAC" w:rsidP="00D6242F">
            <w:pPr>
              <w:pStyle w:val="CETEquation"/>
              <w:jc w:val="right"/>
              <w:rPr>
                <w:color w:val="000000" w:themeColor="text1"/>
              </w:rPr>
            </w:pPr>
            <w:r w:rsidRPr="003B5EAC">
              <w:rPr>
                <w:color w:val="000000" w:themeColor="text1"/>
              </w:rPr>
              <w:t>(4)</w:t>
            </w:r>
          </w:p>
        </w:tc>
      </w:tr>
    </w:tbl>
    <w:p w14:paraId="61724268" w14:textId="6D32678C" w:rsidR="00F603F9" w:rsidRPr="003B5EAC" w:rsidRDefault="00F603F9" w:rsidP="00F603F9">
      <w:pPr>
        <w:pStyle w:val="Paragrafoelenco"/>
        <w:tabs>
          <w:tab w:val="left" w:pos="709"/>
        </w:tabs>
        <w:autoSpaceDE w:val="0"/>
        <w:autoSpaceDN w:val="0"/>
        <w:ind w:left="0"/>
        <w:rPr>
          <w:color w:val="000000" w:themeColor="text1"/>
        </w:rPr>
      </w:pPr>
      <w:r w:rsidRPr="003B5EAC">
        <w:rPr>
          <w:color w:val="000000" w:themeColor="text1"/>
        </w:rPr>
        <w:t xml:space="preserve">where </w:t>
      </w:r>
      <w:proofErr w:type="spellStart"/>
      <w:r w:rsidRPr="003B5EAC">
        <w:rPr>
          <w:i/>
          <w:color w:val="000000" w:themeColor="text1"/>
        </w:rPr>
        <w:t>i</w:t>
      </w:r>
      <w:proofErr w:type="spellEnd"/>
      <w:r w:rsidRPr="003B5EAC">
        <w:rPr>
          <w:color w:val="000000" w:themeColor="text1"/>
        </w:rPr>
        <w:t xml:space="preserve"> is the measured current (mA), </w:t>
      </w:r>
      <w:r w:rsidRPr="003B5EAC">
        <w:rPr>
          <w:i/>
          <w:color w:val="000000" w:themeColor="text1"/>
        </w:rPr>
        <w:t>F</w:t>
      </w:r>
      <w:r w:rsidRPr="003B5EAC">
        <w:rPr>
          <w:color w:val="000000" w:themeColor="text1"/>
        </w:rPr>
        <w:t xml:space="preserve"> is the Faraday’s constant and </w:t>
      </w:r>
      <w:r w:rsidRPr="003B5EAC">
        <w:rPr>
          <w:i/>
          <w:color w:val="000000" w:themeColor="text1"/>
        </w:rPr>
        <w:sym w:font="Symbol" w:char="F044"/>
      </w:r>
      <w:r w:rsidRPr="003B5EAC">
        <w:rPr>
          <w:i/>
          <w:color w:val="000000" w:themeColor="text1"/>
          <w:vertAlign w:val="subscript"/>
        </w:rPr>
        <w:t>Tol</w:t>
      </w:r>
      <w:r w:rsidR="00442185" w:rsidRPr="003B5EAC">
        <w:rPr>
          <w:color w:val="000000" w:themeColor="text1"/>
        </w:rPr>
        <w:t xml:space="preserve"> is the amount</w:t>
      </w:r>
      <w:r w:rsidRPr="003B5EAC">
        <w:rPr>
          <w:color w:val="000000" w:themeColor="text1"/>
        </w:rPr>
        <w:t xml:space="preserve"> of removed toluene (mmol</w:t>
      </w:r>
      <w:r w:rsidR="00442185" w:rsidRPr="003B5EAC">
        <w:rPr>
          <w:color w:val="000000" w:themeColor="text1"/>
        </w:rPr>
        <w:t xml:space="preserve"> d</w:t>
      </w:r>
      <w:r w:rsidR="00442185" w:rsidRPr="003B5EAC">
        <w:rPr>
          <w:color w:val="000000" w:themeColor="text1"/>
          <w:vertAlign w:val="superscript"/>
        </w:rPr>
        <w:t>-1</w:t>
      </w:r>
      <w:r w:rsidRPr="003B5EAC">
        <w:rPr>
          <w:color w:val="000000" w:themeColor="text1"/>
        </w:rPr>
        <w:t xml:space="preserve">), </w:t>
      </w:r>
      <w:proofErr w:type="spellStart"/>
      <w:r w:rsidRPr="003B5EAC">
        <w:rPr>
          <w:i/>
          <w:color w:val="000000" w:themeColor="text1"/>
        </w:rPr>
        <w:t>f</w:t>
      </w:r>
      <w:r w:rsidRPr="003B5EAC">
        <w:rPr>
          <w:i/>
          <w:color w:val="000000" w:themeColor="text1"/>
          <w:vertAlign w:val="subscript"/>
        </w:rPr>
        <w:t>Tol</w:t>
      </w:r>
      <w:proofErr w:type="spellEnd"/>
      <w:r w:rsidRPr="003B5EAC">
        <w:rPr>
          <w:color w:val="000000" w:themeColor="text1"/>
        </w:rPr>
        <w:t xml:space="preserve"> represents the number of mmol of electrons released from the complete oxidation of 1 mmol of toluene. </w:t>
      </w:r>
    </w:p>
    <w:p w14:paraId="34FE4F02" w14:textId="77777777" w:rsidR="00F603F9" w:rsidRPr="009A3518" w:rsidRDefault="00F603F9" w:rsidP="009A3518">
      <w:pPr>
        <w:pStyle w:val="CETBodytext"/>
      </w:pPr>
    </w:p>
    <w:p w14:paraId="677EBFF0" w14:textId="5188B533" w:rsidR="00600535" w:rsidRPr="00B57B36" w:rsidRDefault="00B26B67" w:rsidP="00600535">
      <w:pPr>
        <w:pStyle w:val="CETHeading1"/>
        <w:tabs>
          <w:tab w:val="clear" w:pos="360"/>
          <w:tab w:val="right" w:pos="7100"/>
        </w:tabs>
        <w:jc w:val="both"/>
        <w:rPr>
          <w:lang w:val="en-GB"/>
        </w:rPr>
      </w:pPr>
      <w:r>
        <w:rPr>
          <w:lang w:val="en-GB"/>
        </w:rPr>
        <w:t>Results and Discussion</w:t>
      </w:r>
    </w:p>
    <w:p w14:paraId="3AA8540E" w14:textId="57B51E58" w:rsidR="00067A30" w:rsidRDefault="00C2439A" w:rsidP="00067A30">
      <w:pPr>
        <w:pStyle w:val="CETCaption"/>
        <w:contextualSpacing/>
        <w:rPr>
          <w:i w:val="0"/>
        </w:rPr>
      </w:pPr>
      <w:r w:rsidRPr="003749F4">
        <w:rPr>
          <w:i w:val="0"/>
        </w:rPr>
        <w:t xml:space="preserve">The reactor was operated for </w:t>
      </w:r>
      <w:r w:rsidR="00191C38" w:rsidRPr="003749F4">
        <w:rPr>
          <w:i w:val="0"/>
        </w:rPr>
        <w:t>thirty-five</w:t>
      </w:r>
      <w:r w:rsidRPr="003749F4">
        <w:rPr>
          <w:i w:val="0"/>
        </w:rPr>
        <w:t xml:space="preserve"> days. </w:t>
      </w:r>
      <w:r w:rsidR="003749F4" w:rsidRPr="003749F4">
        <w:rPr>
          <w:i w:val="0"/>
        </w:rPr>
        <w:t>At the start of the experiment, the system was operated in open circuit (OCP)</w:t>
      </w:r>
      <w:r w:rsidR="0066212B">
        <w:rPr>
          <w:i w:val="0"/>
        </w:rPr>
        <w:t xml:space="preserve"> </w:t>
      </w:r>
      <w:r w:rsidR="00191C38">
        <w:rPr>
          <w:i w:val="0"/>
        </w:rPr>
        <w:t>for seven days</w:t>
      </w:r>
      <w:r w:rsidR="00821EF8">
        <w:rPr>
          <w:i w:val="0"/>
        </w:rPr>
        <w:t>, corresponding to nearly 20 HRT, hence a period sufficiently long to properly assess the contribution of abiotic process and of the endogenous metabolism of the inoculum on toluene and TCE removal. Subsequently, the system was</w:t>
      </w:r>
      <w:r w:rsidR="003749F4" w:rsidRPr="003749F4">
        <w:rPr>
          <w:i w:val="0"/>
        </w:rPr>
        <w:t xml:space="preserve"> switched to polarized mode. I</w:t>
      </w:r>
      <w:r w:rsidR="00EE6645">
        <w:rPr>
          <w:i w:val="0"/>
        </w:rPr>
        <w:t>n Figure 2</w:t>
      </w:r>
      <w:r w:rsidR="00370160">
        <w:rPr>
          <w:i w:val="0"/>
        </w:rPr>
        <w:t>A</w:t>
      </w:r>
      <w:r w:rsidR="00EE6645">
        <w:rPr>
          <w:i w:val="0"/>
        </w:rPr>
        <w:t xml:space="preserve"> is depicted</w:t>
      </w:r>
      <w:r w:rsidRPr="003749F4">
        <w:rPr>
          <w:i w:val="0"/>
        </w:rPr>
        <w:t xml:space="preserve"> the trend </w:t>
      </w:r>
      <w:r w:rsidR="003749F4" w:rsidRPr="003749F4">
        <w:rPr>
          <w:i w:val="0"/>
        </w:rPr>
        <w:t>of the current measured throughout the experiment</w:t>
      </w:r>
      <w:r w:rsidRPr="003749F4">
        <w:rPr>
          <w:i w:val="0"/>
        </w:rPr>
        <w:t xml:space="preserve">. </w:t>
      </w:r>
      <w:r w:rsidR="003749F4" w:rsidRPr="003749F4">
        <w:rPr>
          <w:i w:val="0"/>
        </w:rPr>
        <w:t xml:space="preserve">After an initial start-up phase, the produced </w:t>
      </w:r>
      <w:r w:rsidR="007B0760" w:rsidRPr="003749F4">
        <w:rPr>
          <w:i w:val="0"/>
        </w:rPr>
        <w:t xml:space="preserve">current </w:t>
      </w:r>
      <w:r w:rsidR="003749F4" w:rsidRPr="003749F4">
        <w:rPr>
          <w:i w:val="0"/>
        </w:rPr>
        <w:t xml:space="preserve">reached a quite stable level, with an average of 2.5 mA. </w:t>
      </w:r>
      <w:r w:rsidR="00191C38">
        <w:rPr>
          <w:i w:val="0"/>
        </w:rPr>
        <w:t>As soon as</w:t>
      </w:r>
      <w:r w:rsidR="00067A30">
        <w:rPr>
          <w:i w:val="0"/>
        </w:rPr>
        <w:t xml:space="preserve"> th</w:t>
      </w:r>
      <w:r w:rsidR="00067A30" w:rsidRPr="007B0760">
        <w:rPr>
          <w:i w:val="0"/>
        </w:rPr>
        <w:t xml:space="preserve">e </w:t>
      </w:r>
      <w:r w:rsidR="007B0760" w:rsidRPr="007B0760">
        <w:rPr>
          <w:i w:val="0"/>
        </w:rPr>
        <w:t>anode</w:t>
      </w:r>
      <w:r w:rsidR="00067A30" w:rsidRPr="007B0760">
        <w:rPr>
          <w:i w:val="0"/>
        </w:rPr>
        <w:t xml:space="preserve"> was polarized, increasing concentrations of toluene </w:t>
      </w:r>
      <w:r w:rsidR="007B0760" w:rsidRPr="007B0760">
        <w:rPr>
          <w:i w:val="0"/>
        </w:rPr>
        <w:t>were</w:t>
      </w:r>
      <w:r w:rsidR="00067A30" w:rsidRPr="007B0760">
        <w:rPr>
          <w:i w:val="0"/>
        </w:rPr>
        <w:t xml:space="preserve"> removed </w:t>
      </w:r>
      <w:r w:rsidR="007B0760" w:rsidRPr="007B0760">
        <w:rPr>
          <w:i w:val="0"/>
        </w:rPr>
        <w:t xml:space="preserve">in the system </w:t>
      </w:r>
      <w:r w:rsidR="00067A30" w:rsidRPr="007B0760">
        <w:rPr>
          <w:i w:val="0"/>
        </w:rPr>
        <w:t>(Figure 2</w:t>
      </w:r>
      <w:r w:rsidR="00370160">
        <w:rPr>
          <w:i w:val="0"/>
        </w:rPr>
        <w:t>B</w:t>
      </w:r>
      <w:r w:rsidR="00067A30" w:rsidRPr="007B0760">
        <w:rPr>
          <w:i w:val="0"/>
        </w:rPr>
        <w:t xml:space="preserve">). </w:t>
      </w:r>
      <w:r w:rsidR="000144A3">
        <w:rPr>
          <w:i w:val="0"/>
        </w:rPr>
        <w:t xml:space="preserve">This indicates that the degradation of toluene is </w:t>
      </w:r>
      <w:r w:rsidR="00191C38">
        <w:rPr>
          <w:i w:val="0"/>
        </w:rPr>
        <w:t>dependent on</w:t>
      </w:r>
      <w:r w:rsidR="00A03967">
        <w:rPr>
          <w:i w:val="0"/>
        </w:rPr>
        <w:t xml:space="preserve"> the bioelectrocatalytic activity of the microorganis</w:t>
      </w:r>
      <w:r w:rsidR="008B37A6">
        <w:rPr>
          <w:i w:val="0"/>
        </w:rPr>
        <w:t>m</w:t>
      </w:r>
      <w:r w:rsidR="00A03967">
        <w:rPr>
          <w:i w:val="0"/>
        </w:rPr>
        <w:t>s present in the reactor.</w:t>
      </w:r>
    </w:p>
    <w:p w14:paraId="5C19AB0F" w14:textId="77777777" w:rsidR="00DC1A3A" w:rsidRDefault="00DC1A3A" w:rsidP="003307E7">
      <w:pPr>
        <w:pStyle w:val="CETCaption"/>
        <w:jc w:val="left"/>
        <w:rPr>
          <w:i w:val="0"/>
        </w:rPr>
      </w:pPr>
      <w:r>
        <w:rPr>
          <w:i w:val="0"/>
          <w:noProof/>
          <w:lang w:val="it-IT" w:eastAsia="it-IT"/>
        </w:rPr>
        <w:drawing>
          <wp:inline distT="0" distB="0" distL="0" distR="0" wp14:anchorId="0939B7D2" wp14:editId="064DAC8A">
            <wp:extent cx="5609959" cy="458013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735" cy="4594647"/>
                    </a:xfrm>
                    <a:prstGeom prst="rect">
                      <a:avLst/>
                    </a:prstGeom>
                    <a:noFill/>
                  </pic:spPr>
                </pic:pic>
              </a:graphicData>
            </a:graphic>
          </wp:inline>
        </w:drawing>
      </w:r>
    </w:p>
    <w:p w14:paraId="5FC44FE4" w14:textId="32016031" w:rsidR="00DC1A3A" w:rsidRPr="00EF5DFC" w:rsidRDefault="00DC1A3A" w:rsidP="00DC1A3A">
      <w:pPr>
        <w:pStyle w:val="CETCaption"/>
      </w:pPr>
      <w:r>
        <w:rPr>
          <w:rStyle w:val="CETCaptionCarattere"/>
          <w:i/>
        </w:rPr>
        <w:t>Figure 2</w:t>
      </w:r>
      <w:r w:rsidRPr="00EF5DFC">
        <w:rPr>
          <w:rStyle w:val="CETCaptionCarattere"/>
          <w:i/>
        </w:rPr>
        <w:t xml:space="preserve">: </w:t>
      </w:r>
      <w:r>
        <w:rPr>
          <w:rStyle w:val="CETCaptionCarattere"/>
          <w:i/>
        </w:rPr>
        <w:t>Trends of A</w:t>
      </w:r>
      <w:r w:rsidRPr="00EF5DFC">
        <w:rPr>
          <w:rStyle w:val="CETCaptionCarattere"/>
          <w:i/>
        </w:rPr>
        <w:t xml:space="preserve">) </w:t>
      </w:r>
      <w:r>
        <w:rPr>
          <w:rStyle w:val="CETCaptionCarattere"/>
          <w:i/>
        </w:rPr>
        <w:t xml:space="preserve">current generation, B) </w:t>
      </w:r>
      <w:r w:rsidR="0066212B">
        <w:rPr>
          <w:rStyle w:val="CETCaptionCarattere"/>
          <w:i/>
        </w:rPr>
        <w:t>toluene removal</w:t>
      </w:r>
      <w:r>
        <w:rPr>
          <w:rStyle w:val="CETCaptionCarattere"/>
          <w:i/>
        </w:rPr>
        <w:t xml:space="preserve">, C) </w:t>
      </w:r>
      <w:r w:rsidR="0066212B">
        <w:rPr>
          <w:rStyle w:val="CETCaptionCarattere"/>
          <w:i/>
        </w:rPr>
        <w:t>hydrogen concentration</w:t>
      </w:r>
      <w:r>
        <w:rPr>
          <w:rStyle w:val="CETCaptionCarattere"/>
          <w:i/>
        </w:rPr>
        <w:t xml:space="preserve">, D) </w:t>
      </w:r>
      <w:r w:rsidR="0066212B">
        <w:rPr>
          <w:rStyle w:val="CETCaptionCarattere"/>
          <w:i/>
        </w:rPr>
        <w:t xml:space="preserve">TCE </w:t>
      </w:r>
      <w:r>
        <w:rPr>
          <w:rStyle w:val="CETCaptionCarattere"/>
          <w:i/>
        </w:rPr>
        <w:t xml:space="preserve">removal, E) </w:t>
      </w:r>
      <w:r w:rsidR="0066212B">
        <w:rPr>
          <w:rStyle w:val="CETCaptionCarattere"/>
          <w:i/>
        </w:rPr>
        <w:t>methane production</w:t>
      </w:r>
      <w:r>
        <w:rPr>
          <w:rStyle w:val="CETCaptionCarattere"/>
          <w:i/>
        </w:rPr>
        <w:t>, F) RD products concentration</w:t>
      </w:r>
      <w:r w:rsidRPr="00EF5DFC">
        <w:rPr>
          <w:rStyle w:val="CETCaptionCarattere"/>
          <w:i/>
        </w:rPr>
        <w:t xml:space="preserve"> </w:t>
      </w:r>
      <w:r>
        <w:rPr>
          <w:rStyle w:val="CETCaptionCarattere"/>
          <w:i/>
        </w:rPr>
        <w:t>during the whole study, both in OCP and polarized mode</w:t>
      </w:r>
      <w:r w:rsidR="009B5615">
        <w:rPr>
          <w:rStyle w:val="CETCaptionCarattere"/>
          <w:i/>
        </w:rPr>
        <w:t>.</w:t>
      </w:r>
    </w:p>
    <w:p w14:paraId="029B6EBD" w14:textId="71918DFC" w:rsidR="00B80281" w:rsidRDefault="006E3765" w:rsidP="006E3765">
      <w:pPr>
        <w:pStyle w:val="CETCaption"/>
        <w:contextualSpacing/>
        <w:rPr>
          <w:i w:val="0"/>
        </w:rPr>
      </w:pPr>
      <w:r w:rsidRPr="00C32F44">
        <w:rPr>
          <w:i w:val="0"/>
        </w:rPr>
        <w:lastRenderedPageBreak/>
        <w:t>Figure 2</w:t>
      </w:r>
      <w:r w:rsidR="00370160" w:rsidRPr="00C32F44">
        <w:rPr>
          <w:i w:val="0"/>
        </w:rPr>
        <w:t>C</w:t>
      </w:r>
      <w:r w:rsidRPr="00C32F44">
        <w:rPr>
          <w:i w:val="0"/>
        </w:rPr>
        <w:t xml:space="preserve"> </w:t>
      </w:r>
      <w:r w:rsidR="00EE6645" w:rsidRPr="00C32F44">
        <w:rPr>
          <w:i w:val="0"/>
        </w:rPr>
        <w:t>shows</w:t>
      </w:r>
      <w:r w:rsidRPr="00C32F44">
        <w:rPr>
          <w:i w:val="0"/>
        </w:rPr>
        <w:t xml:space="preserve"> the trend of hydrogen production</w:t>
      </w:r>
      <w:r w:rsidR="00370160" w:rsidRPr="00C32F44">
        <w:rPr>
          <w:i w:val="0"/>
        </w:rPr>
        <w:t>.</w:t>
      </w:r>
      <w:r w:rsidRPr="00C32F44">
        <w:rPr>
          <w:i w:val="0"/>
        </w:rPr>
        <w:t xml:space="preserve"> </w:t>
      </w:r>
      <w:r w:rsidR="00370160" w:rsidRPr="00C32F44">
        <w:rPr>
          <w:i w:val="0"/>
        </w:rPr>
        <w:t>A</w:t>
      </w:r>
      <w:r w:rsidRPr="00C32F44">
        <w:rPr>
          <w:i w:val="0"/>
        </w:rPr>
        <w:t xml:space="preserve"> sharp increase of hydrogen concentration c</w:t>
      </w:r>
      <w:r w:rsidR="00C8232D" w:rsidRPr="00C32F44">
        <w:rPr>
          <w:i w:val="0"/>
        </w:rPr>
        <w:t>ould</w:t>
      </w:r>
      <w:r w:rsidRPr="00C32F44">
        <w:rPr>
          <w:i w:val="0"/>
        </w:rPr>
        <w:t xml:space="preserve"> be observed</w:t>
      </w:r>
      <w:r w:rsidR="00370160" w:rsidRPr="00C32F44">
        <w:rPr>
          <w:i w:val="0"/>
        </w:rPr>
        <w:t xml:space="preserve"> </w:t>
      </w:r>
      <w:r w:rsidR="00492089">
        <w:rPr>
          <w:i w:val="0"/>
        </w:rPr>
        <w:t>shortly</w:t>
      </w:r>
      <w:r w:rsidR="00EA0E0F" w:rsidRPr="00C32F44">
        <w:rPr>
          <w:i w:val="0"/>
        </w:rPr>
        <w:t xml:space="preserve"> after </w:t>
      </w:r>
      <w:r w:rsidR="00370160" w:rsidRPr="00C32F44">
        <w:rPr>
          <w:i w:val="0"/>
        </w:rPr>
        <w:t xml:space="preserve">the reactor </w:t>
      </w:r>
      <w:r w:rsidR="00C8232D" w:rsidRPr="00C32F44">
        <w:rPr>
          <w:i w:val="0"/>
        </w:rPr>
        <w:t>was</w:t>
      </w:r>
      <w:r w:rsidR="00370160" w:rsidRPr="00C32F44">
        <w:rPr>
          <w:i w:val="0"/>
        </w:rPr>
        <w:t xml:space="preserve"> polarized</w:t>
      </w:r>
      <w:r w:rsidRPr="00C32F44">
        <w:rPr>
          <w:i w:val="0"/>
        </w:rPr>
        <w:t>. However, after few days</w:t>
      </w:r>
      <w:r w:rsidR="007A1EFE" w:rsidRPr="00C32F44">
        <w:rPr>
          <w:i w:val="0"/>
        </w:rPr>
        <w:t xml:space="preserve"> </w:t>
      </w:r>
      <w:r w:rsidR="00C8232D" w:rsidRPr="00C32F44">
        <w:rPr>
          <w:i w:val="0"/>
        </w:rPr>
        <w:t>the produced hydrogen was completely consumed</w:t>
      </w:r>
      <w:r w:rsidR="00492089">
        <w:rPr>
          <w:i w:val="0"/>
        </w:rPr>
        <w:t>,</w:t>
      </w:r>
      <w:r w:rsidRPr="00C32F44">
        <w:rPr>
          <w:i w:val="0"/>
        </w:rPr>
        <w:t xml:space="preserve"> </w:t>
      </w:r>
      <w:r w:rsidR="00C8232D" w:rsidRPr="00C32F44">
        <w:rPr>
          <w:i w:val="0"/>
        </w:rPr>
        <w:t xml:space="preserve">most likely </w:t>
      </w:r>
      <w:r w:rsidR="00492089">
        <w:rPr>
          <w:i w:val="0"/>
        </w:rPr>
        <w:t xml:space="preserve">employed as </w:t>
      </w:r>
      <w:r w:rsidR="00492089" w:rsidRPr="00C32F44">
        <w:rPr>
          <w:i w:val="0"/>
        </w:rPr>
        <w:t>electron source</w:t>
      </w:r>
      <w:r w:rsidR="00492089">
        <w:rPr>
          <w:i w:val="0"/>
        </w:rPr>
        <w:t xml:space="preserve"> in</w:t>
      </w:r>
      <w:r w:rsidR="00C8232D" w:rsidRPr="00C32F44">
        <w:rPr>
          <w:i w:val="0"/>
        </w:rPr>
        <w:t xml:space="preserve"> the</w:t>
      </w:r>
      <w:r w:rsidRPr="00C32F44">
        <w:rPr>
          <w:i w:val="0"/>
        </w:rPr>
        <w:t xml:space="preserve"> </w:t>
      </w:r>
      <w:r w:rsidR="00492089">
        <w:rPr>
          <w:i w:val="0"/>
        </w:rPr>
        <w:t>metabolic activity of the</w:t>
      </w:r>
      <w:r w:rsidR="00492089" w:rsidRPr="00C32F44">
        <w:rPr>
          <w:i w:val="0"/>
        </w:rPr>
        <w:t xml:space="preserve"> </w:t>
      </w:r>
      <w:r w:rsidRPr="00C32F44">
        <w:rPr>
          <w:i w:val="0"/>
        </w:rPr>
        <w:t xml:space="preserve">microbial populations. </w:t>
      </w:r>
      <w:r w:rsidR="00C8232D" w:rsidRPr="00C32F44">
        <w:rPr>
          <w:i w:val="0"/>
        </w:rPr>
        <w:t>Indeed</w:t>
      </w:r>
      <w:r w:rsidRPr="00C32F44">
        <w:rPr>
          <w:i w:val="0"/>
        </w:rPr>
        <w:t xml:space="preserve">, </w:t>
      </w:r>
      <w:r w:rsidR="00C8232D" w:rsidRPr="00C32F44">
        <w:rPr>
          <w:i w:val="0"/>
        </w:rPr>
        <w:t>as it can be observed in Figure 2D</w:t>
      </w:r>
      <w:r w:rsidR="00352A43">
        <w:rPr>
          <w:i w:val="0"/>
        </w:rPr>
        <w:t>,</w:t>
      </w:r>
      <w:r w:rsidR="00C8232D" w:rsidRPr="00C32F44">
        <w:rPr>
          <w:i w:val="0"/>
        </w:rPr>
        <w:t xml:space="preserve"> the removal of TCE drastically</w:t>
      </w:r>
      <w:r w:rsidRPr="00C32F44">
        <w:rPr>
          <w:i w:val="0"/>
        </w:rPr>
        <w:t xml:space="preserve"> increased </w:t>
      </w:r>
      <w:r w:rsidR="00C32F44">
        <w:rPr>
          <w:i w:val="0"/>
        </w:rPr>
        <w:t>when</w:t>
      </w:r>
      <w:r w:rsidR="00C8232D" w:rsidRPr="00C32F44">
        <w:rPr>
          <w:i w:val="0"/>
        </w:rPr>
        <w:t xml:space="preserve"> </w:t>
      </w:r>
      <w:r w:rsidRPr="00C32F44">
        <w:rPr>
          <w:i w:val="0"/>
        </w:rPr>
        <w:t>the system was polarized.</w:t>
      </w:r>
      <w:r w:rsidR="00B80281">
        <w:rPr>
          <w:i w:val="0"/>
        </w:rPr>
        <w:t xml:space="preserve"> Therefore, the bio</w:t>
      </w:r>
      <w:r w:rsidR="00587951">
        <w:rPr>
          <w:i w:val="0"/>
        </w:rPr>
        <w:t xml:space="preserve">electric well was able to </w:t>
      </w:r>
      <w:r w:rsidR="00492089">
        <w:rPr>
          <w:i w:val="0"/>
        </w:rPr>
        <w:t>use the electrons generated by the toluene oxidation to degrade</w:t>
      </w:r>
      <w:r w:rsidR="00587951">
        <w:rPr>
          <w:i w:val="0"/>
        </w:rPr>
        <w:t xml:space="preserve"> TCE</w:t>
      </w:r>
      <w:r w:rsidR="00492089">
        <w:rPr>
          <w:i w:val="0"/>
        </w:rPr>
        <w:t xml:space="preserve"> via RD</w:t>
      </w:r>
      <w:r w:rsidR="00587951">
        <w:rPr>
          <w:i w:val="0"/>
        </w:rPr>
        <w:t xml:space="preserve">. </w:t>
      </w:r>
      <w:r w:rsidR="00352A43">
        <w:rPr>
          <w:i w:val="0"/>
        </w:rPr>
        <w:t xml:space="preserve">The production of methane also increased </w:t>
      </w:r>
      <w:proofErr w:type="gramStart"/>
      <w:r w:rsidR="00C06E02">
        <w:rPr>
          <w:i w:val="0"/>
        </w:rPr>
        <w:t>during the course of</w:t>
      </w:r>
      <w:proofErr w:type="gramEnd"/>
      <w:r w:rsidR="00C06E02">
        <w:rPr>
          <w:i w:val="0"/>
        </w:rPr>
        <w:t xml:space="preserve"> the experiment (Figure 2E), meaning that a small amount of the hydrogen produced at the cathode was employed by methanogenic microorganisms. </w:t>
      </w:r>
      <w:r w:rsidR="00587951">
        <w:rPr>
          <w:i w:val="0"/>
        </w:rPr>
        <w:t xml:space="preserve">As further </w:t>
      </w:r>
      <w:r w:rsidR="00CB03C9">
        <w:rPr>
          <w:i w:val="0"/>
        </w:rPr>
        <w:t>evidence</w:t>
      </w:r>
      <w:r w:rsidR="00587951">
        <w:rPr>
          <w:i w:val="0"/>
        </w:rPr>
        <w:t xml:space="preserve"> of the </w:t>
      </w:r>
      <w:proofErr w:type="spellStart"/>
      <w:r w:rsidR="00587951">
        <w:rPr>
          <w:i w:val="0"/>
        </w:rPr>
        <w:t>bioelectrochemically</w:t>
      </w:r>
      <w:proofErr w:type="spellEnd"/>
      <w:r w:rsidR="00587951">
        <w:rPr>
          <w:i w:val="0"/>
        </w:rPr>
        <w:t xml:space="preserve">-driven TCE </w:t>
      </w:r>
      <w:r w:rsidR="000F5F01">
        <w:rPr>
          <w:i w:val="0"/>
        </w:rPr>
        <w:t>degradation</w:t>
      </w:r>
      <w:r w:rsidR="00587951">
        <w:rPr>
          <w:i w:val="0"/>
        </w:rPr>
        <w:t xml:space="preserve">, the concentration of reductive dechlorination products was measured. As shown in Figure 2F, the sum of the </w:t>
      </w:r>
      <w:r w:rsidR="000F5F01">
        <w:rPr>
          <w:i w:val="0"/>
        </w:rPr>
        <w:t>reductive dehalogenation</w:t>
      </w:r>
      <w:r w:rsidR="00CB03C9">
        <w:rPr>
          <w:i w:val="0"/>
        </w:rPr>
        <w:t xml:space="preserve"> products (expressed</w:t>
      </w:r>
      <w:r w:rsidR="00587951">
        <w:rPr>
          <w:i w:val="0"/>
        </w:rPr>
        <w:t xml:space="preserve"> as electron equivalents</w:t>
      </w:r>
      <w:r w:rsidR="00CB03C9">
        <w:rPr>
          <w:i w:val="0"/>
        </w:rPr>
        <w:t>)</w:t>
      </w:r>
      <w:r w:rsidR="00587951">
        <w:rPr>
          <w:i w:val="0"/>
        </w:rPr>
        <w:t xml:space="preserve"> follows the </w:t>
      </w:r>
      <w:r w:rsidR="00CB03C9">
        <w:rPr>
          <w:i w:val="0"/>
        </w:rPr>
        <w:t>same</w:t>
      </w:r>
      <w:r w:rsidR="00A237FB">
        <w:rPr>
          <w:i w:val="0"/>
        </w:rPr>
        <w:t xml:space="preserve"> trend of TCE re</w:t>
      </w:r>
      <w:r w:rsidR="00CB03C9">
        <w:rPr>
          <w:i w:val="0"/>
        </w:rPr>
        <w:t>moval, confirming the increase of</w:t>
      </w:r>
      <w:r w:rsidR="00A237FB">
        <w:rPr>
          <w:i w:val="0"/>
        </w:rPr>
        <w:t xml:space="preserve"> biocatalytic activity of the </w:t>
      </w:r>
      <w:proofErr w:type="spellStart"/>
      <w:r w:rsidR="00A237FB">
        <w:rPr>
          <w:i w:val="0"/>
        </w:rPr>
        <w:t>dehalogenating</w:t>
      </w:r>
      <w:proofErr w:type="spellEnd"/>
      <w:r w:rsidR="00A237FB">
        <w:rPr>
          <w:i w:val="0"/>
        </w:rPr>
        <w:t xml:space="preserve"> bacteria</w:t>
      </w:r>
      <w:r w:rsidR="00CB03C9">
        <w:rPr>
          <w:i w:val="0"/>
        </w:rPr>
        <w:t xml:space="preserve"> in the polarized run</w:t>
      </w:r>
      <w:r w:rsidR="00A237FB">
        <w:rPr>
          <w:i w:val="0"/>
        </w:rPr>
        <w:t>.</w:t>
      </w:r>
      <w:r w:rsidR="00670CB3">
        <w:rPr>
          <w:i w:val="0"/>
        </w:rPr>
        <w:t xml:space="preserve"> The </w:t>
      </w:r>
      <w:r w:rsidR="000F5F01">
        <w:rPr>
          <w:i w:val="0"/>
        </w:rPr>
        <w:t xml:space="preserve">analysis also revealed that </w:t>
      </w:r>
      <w:r w:rsidR="000F5F01" w:rsidRPr="000F5F01">
        <w:t>cis</w:t>
      </w:r>
      <w:r w:rsidR="000F5F01">
        <w:rPr>
          <w:i w:val="0"/>
        </w:rPr>
        <w:t xml:space="preserve">-DCE was the most abundant among the degradation products of TCE, followed by </w:t>
      </w:r>
      <w:r w:rsidR="00001B9E">
        <w:rPr>
          <w:i w:val="0"/>
        </w:rPr>
        <w:t>VC and ethylene</w:t>
      </w:r>
      <w:r w:rsidR="00677889">
        <w:rPr>
          <w:i w:val="0"/>
        </w:rPr>
        <w:t xml:space="preserve"> (Figure 3A)</w:t>
      </w:r>
      <w:r w:rsidR="00001B9E">
        <w:rPr>
          <w:i w:val="0"/>
        </w:rPr>
        <w:t>.</w:t>
      </w:r>
      <w:r w:rsidR="000F5F01">
        <w:rPr>
          <w:i w:val="0"/>
        </w:rPr>
        <w:t xml:space="preserve"> </w:t>
      </w:r>
    </w:p>
    <w:p w14:paraId="0F86EDD5" w14:textId="71E20530" w:rsidR="008A6EBF" w:rsidRDefault="008A6EBF" w:rsidP="008A6EBF">
      <w:pPr>
        <w:pStyle w:val="CETCaption"/>
        <w:contextualSpacing/>
        <w:rPr>
          <w:i w:val="0"/>
        </w:rPr>
      </w:pPr>
      <w:r>
        <w:rPr>
          <w:i w:val="0"/>
        </w:rPr>
        <w:t xml:space="preserve">The removal rates obtained for toluene and TCE at the end of the polarized run were 0.76 </w:t>
      </w:r>
      <w:r>
        <w:rPr>
          <w:rFonts w:cs="Arial"/>
          <w:i w:val="0"/>
        </w:rPr>
        <w:t>±</w:t>
      </w:r>
      <w:r>
        <w:rPr>
          <w:i w:val="0"/>
        </w:rPr>
        <w:t xml:space="preserve"> 0.23 and 0.35 </w:t>
      </w:r>
      <w:r>
        <w:rPr>
          <w:rFonts w:cs="Arial"/>
          <w:i w:val="0"/>
        </w:rPr>
        <w:t>±</w:t>
      </w:r>
      <w:r>
        <w:rPr>
          <w:i w:val="0"/>
        </w:rPr>
        <w:t xml:space="preserve"> 0.05 </w:t>
      </w:r>
      <w:r>
        <w:rPr>
          <w:rFonts w:cs="Arial"/>
          <w:i w:val="0"/>
        </w:rPr>
        <w:t>µ</w:t>
      </w:r>
      <w:r>
        <w:rPr>
          <w:i w:val="0"/>
        </w:rPr>
        <w:t>mol L</w:t>
      </w:r>
      <w:r>
        <w:rPr>
          <w:i w:val="0"/>
          <w:vertAlign w:val="superscript"/>
        </w:rPr>
        <w:t>-1</w:t>
      </w:r>
      <w:r>
        <w:rPr>
          <w:i w:val="0"/>
        </w:rPr>
        <w:t xml:space="preserve"> d</w:t>
      </w:r>
      <w:r>
        <w:rPr>
          <w:i w:val="0"/>
          <w:vertAlign w:val="superscript"/>
        </w:rPr>
        <w:t>-1</w:t>
      </w:r>
      <w:r>
        <w:rPr>
          <w:i w:val="0"/>
        </w:rPr>
        <w:t>, respectively</w:t>
      </w:r>
      <w:r w:rsidR="0046666E">
        <w:rPr>
          <w:i w:val="0"/>
        </w:rPr>
        <w:t>. These values are</w:t>
      </w:r>
      <w:r>
        <w:rPr>
          <w:i w:val="0"/>
        </w:rPr>
        <w:t xml:space="preserve"> obtained as average of the values measured in the last </w:t>
      </w:r>
      <w:r w:rsidR="00D504E3">
        <w:rPr>
          <w:i w:val="0"/>
        </w:rPr>
        <w:t>5</w:t>
      </w:r>
      <w:r>
        <w:rPr>
          <w:i w:val="0"/>
        </w:rPr>
        <w:t xml:space="preserve"> days</w:t>
      </w:r>
      <w:r w:rsidR="00D504E3">
        <w:rPr>
          <w:i w:val="0"/>
        </w:rPr>
        <w:t xml:space="preserve"> of experimentation (from 30 to 35). </w:t>
      </w:r>
      <w:r w:rsidR="00670CB3">
        <w:rPr>
          <w:i w:val="0"/>
        </w:rPr>
        <w:t>With respect to the contaminant load of the influent, the system removed about 38% for to</w:t>
      </w:r>
      <w:r w:rsidR="0046666E">
        <w:rPr>
          <w:i w:val="0"/>
        </w:rPr>
        <w:t>luene and up to 89% of TCE. Th</w:t>
      </w:r>
      <w:r w:rsidR="00670CB3">
        <w:rPr>
          <w:i w:val="0"/>
        </w:rPr>
        <w:t>e</w:t>
      </w:r>
      <w:r w:rsidR="0046666E">
        <w:rPr>
          <w:i w:val="0"/>
        </w:rPr>
        <w:t xml:space="preserve"> obtained</w:t>
      </w:r>
      <w:r w:rsidR="00670CB3">
        <w:rPr>
          <w:i w:val="0"/>
        </w:rPr>
        <w:t xml:space="preserve"> results point out the effectiveness of the bioelectr</w:t>
      </w:r>
      <w:r w:rsidR="00EA0DBD">
        <w:rPr>
          <w:i w:val="0"/>
        </w:rPr>
        <w:t xml:space="preserve">ic well in removing in a </w:t>
      </w:r>
      <w:proofErr w:type="gramStart"/>
      <w:r w:rsidR="00EA0DBD">
        <w:rPr>
          <w:i w:val="0"/>
        </w:rPr>
        <w:t>single-</w:t>
      </w:r>
      <w:r w:rsidR="00670CB3">
        <w:rPr>
          <w:i w:val="0"/>
        </w:rPr>
        <w:t>stage</w:t>
      </w:r>
      <w:proofErr w:type="gramEnd"/>
      <w:r w:rsidR="00670CB3">
        <w:rPr>
          <w:i w:val="0"/>
        </w:rPr>
        <w:t xml:space="preserve"> oxidiz</w:t>
      </w:r>
      <w:r w:rsidR="0046666E">
        <w:rPr>
          <w:i w:val="0"/>
        </w:rPr>
        <w:t>able and reducible contaminants, opening for new possibilities in the field of groundwater bioremediation.</w:t>
      </w:r>
    </w:p>
    <w:p w14:paraId="0F8F7D26" w14:textId="77777777" w:rsidR="00670CB3" w:rsidRPr="008A6EBF" w:rsidRDefault="00670CB3" w:rsidP="008A6EBF">
      <w:pPr>
        <w:pStyle w:val="CETCaption"/>
        <w:contextualSpacing/>
        <w:rPr>
          <w:i w:val="0"/>
        </w:rPr>
      </w:pPr>
    </w:p>
    <w:p w14:paraId="3FEFDC89" w14:textId="7036938E" w:rsidR="00DC1A3A" w:rsidRDefault="00DC1A3A" w:rsidP="00C2439A">
      <w:pPr>
        <w:pStyle w:val="CETCaption"/>
        <w:contextualSpacing/>
        <w:rPr>
          <w:i w:val="0"/>
          <w:color w:val="9BBB59" w:themeColor="accent3"/>
        </w:rPr>
      </w:pPr>
    </w:p>
    <w:p w14:paraId="565BF780" w14:textId="77777777" w:rsidR="00DC1A3A" w:rsidRPr="00C2439A" w:rsidRDefault="00DC1A3A" w:rsidP="00C2439A">
      <w:pPr>
        <w:pStyle w:val="CETCaption"/>
        <w:contextualSpacing/>
        <w:rPr>
          <w:i w:val="0"/>
          <w:color w:val="9BBB59" w:themeColor="accent3"/>
        </w:rPr>
      </w:pPr>
    </w:p>
    <w:p w14:paraId="025673AC" w14:textId="44B8B8B6" w:rsidR="00C2439A" w:rsidRPr="00293F2C" w:rsidRDefault="00EE6D92" w:rsidP="00293F2C">
      <w:pPr>
        <w:pStyle w:val="CETCaption"/>
        <w:contextualSpacing/>
        <w:rPr>
          <w:i w:val="0"/>
        </w:rPr>
      </w:pPr>
      <w:r>
        <w:rPr>
          <w:i w:val="0"/>
          <w:noProof/>
          <w:lang w:val="it-IT" w:eastAsia="it-IT"/>
        </w:rPr>
        <w:drawing>
          <wp:inline distT="0" distB="0" distL="0" distR="0" wp14:anchorId="3522CC48" wp14:editId="7ADA0438">
            <wp:extent cx="5560398" cy="1911732"/>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3557"/>
                    <a:stretch/>
                  </pic:blipFill>
                  <pic:spPr bwMode="auto">
                    <a:xfrm>
                      <a:off x="0" y="0"/>
                      <a:ext cx="5584995" cy="1920189"/>
                    </a:xfrm>
                    <a:prstGeom prst="rect">
                      <a:avLst/>
                    </a:prstGeom>
                    <a:noFill/>
                    <a:ln>
                      <a:noFill/>
                    </a:ln>
                    <a:extLst>
                      <a:ext uri="{53640926-AAD7-44D8-BBD7-CCE9431645EC}">
                        <a14:shadowObscured xmlns:a14="http://schemas.microsoft.com/office/drawing/2010/main"/>
                      </a:ext>
                    </a:extLst>
                  </pic:spPr>
                </pic:pic>
              </a:graphicData>
            </a:graphic>
          </wp:inline>
        </w:drawing>
      </w:r>
    </w:p>
    <w:p w14:paraId="0E9D2084" w14:textId="2B2AE4ED" w:rsidR="00015F6C" w:rsidRDefault="00EE6D92" w:rsidP="00BD077D">
      <w:pPr>
        <w:pStyle w:val="CETCaption"/>
        <w:rPr>
          <w:rStyle w:val="CETCaptionCarattere"/>
          <w:i/>
        </w:rPr>
      </w:pPr>
      <w:r>
        <w:rPr>
          <w:rStyle w:val="CETCaptionCarattere"/>
          <w:i/>
        </w:rPr>
        <w:t>Figure 3</w:t>
      </w:r>
      <w:r w:rsidRPr="00EF5DFC">
        <w:rPr>
          <w:rStyle w:val="CETCaptionCarattere"/>
          <w:i/>
        </w:rPr>
        <w:t xml:space="preserve">: </w:t>
      </w:r>
      <w:r>
        <w:rPr>
          <w:rStyle w:val="CETCaptionCarattere"/>
          <w:i/>
        </w:rPr>
        <w:t>A</w:t>
      </w:r>
      <w:r w:rsidRPr="00EF5DFC">
        <w:rPr>
          <w:rStyle w:val="CETCaptionCarattere"/>
          <w:i/>
        </w:rPr>
        <w:t xml:space="preserve">) </w:t>
      </w:r>
      <w:r>
        <w:rPr>
          <w:rStyle w:val="CETCaptionCarattere"/>
          <w:i/>
        </w:rPr>
        <w:t>Relative abundance of the reductive dechlorination products; Cyclic voltammograms conducted B) on the anode and C) on the cathode at the beginning (T0) and at the end (</w:t>
      </w:r>
      <w:proofErr w:type="spellStart"/>
      <w:r>
        <w:rPr>
          <w:rStyle w:val="CETCaptionCarattere"/>
          <w:i/>
        </w:rPr>
        <w:t>Tfin</w:t>
      </w:r>
      <w:proofErr w:type="spellEnd"/>
      <w:r>
        <w:rPr>
          <w:rStyle w:val="CETCaptionCarattere"/>
          <w:i/>
        </w:rPr>
        <w:t>) of the experiment</w:t>
      </w:r>
      <w:r w:rsidR="00001B9E">
        <w:rPr>
          <w:rStyle w:val="CETCaptionCarattere"/>
          <w:i/>
        </w:rPr>
        <w:t xml:space="preserve"> (scan rate: 1mV s</w:t>
      </w:r>
      <w:r w:rsidR="00001B9E">
        <w:rPr>
          <w:rStyle w:val="CETCaptionCarattere"/>
          <w:i/>
          <w:vertAlign w:val="superscript"/>
        </w:rPr>
        <w:t>-1</w:t>
      </w:r>
      <w:r w:rsidR="00001B9E">
        <w:rPr>
          <w:rStyle w:val="CETCaptionCarattere"/>
          <w:i/>
        </w:rPr>
        <w:t>)</w:t>
      </w:r>
      <w:r>
        <w:rPr>
          <w:rStyle w:val="CETCaptionCarattere"/>
          <w:i/>
        </w:rPr>
        <w:t>.</w:t>
      </w:r>
    </w:p>
    <w:p w14:paraId="39EACC17" w14:textId="1ACBE6D6" w:rsidR="00EE6D92" w:rsidRDefault="00001B9E" w:rsidP="00BD077D">
      <w:pPr>
        <w:pStyle w:val="CETCaption"/>
        <w:rPr>
          <w:i w:val="0"/>
        </w:rPr>
      </w:pPr>
      <w:r>
        <w:rPr>
          <w:i w:val="0"/>
        </w:rPr>
        <w:t>The (bio)electrocatalytic activity of the electrodes was also monitored by means of cyclic voltammetry, which were conducted at the beginning and at the end of the experiment. As shown in Figure 3B, the oxidative current measured with the (bio)anode greatly increased since the e</w:t>
      </w:r>
      <w:r w:rsidR="00A2160D">
        <w:rPr>
          <w:i w:val="0"/>
        </w:rPr>
        <w:t xml:space="preserve">xperiment started, indicating a </w:t>
      </w:r>
      <w:r w:rsidR="00F921AC">
        <w:rPr>
          <w:i w:val="0"/>
        </w:rPr>
        <w:t>successful</w:t>
      </w:r>
      <w:r>
        <w:rPr>
          <w:i w:val="0"/>
        </w:rPr>
        <w:t xml:space="preserve"> development of a</w:t>
      </w:r>
      <w:r w:rsidR="00A2160D">
        <w:rPr>
          <w:i w:val="0"/>
        </w:rPr>
        <w:t xml:space="preserve">n electroactive </w:t>
      </w:r>
      <w:r w:rsidR="00F921AC">
        <w:rPr>
          <w:i w:val="0"/>
        </w:rPr>
        <w:t>biofilm</w:t>
      </w:r>
      <w:r w:rsidR="00A2160D">
        <w:rPr>
          <w:i w:val="0"/>
        </w:rPr>
        <w:t>. On the other hand, the cyclic voltammograms conducted on the cathode (Figure 3C) indicate a slight loss of reductive current, probably caused by a partial passivation of the stainless</w:t>
      </w:r>
      <w:r w:rsidR="00EC303B">
        <w:rPr>
          <w:i w:val="0"/>
        </w:rPr>
        <w:t>-</w:t>
      </w:r>
      <w:r w:rsidR="00A2160D">
        <w:rPr>
          <w:i w:val="0"/>
        </w:rPr>
        <w:t>steel mesh</w:t>
      </w:r>
      <w:r w:rsidR="00EC303B">
        <w:rPr>
          <w:i w:val="0"/>
        </w:rPr>
        <w:t xml:space="preserve"> over time</w:t>
      </w:r>
      <w:r w:rsidR="00A2160D">
        <w:rPr>
          <w:i w:val="0"/>
        </w:rPr>
        <w:t>.</w:t>
      </w:r>
    </w:p>
    <w:p w14:paraId="693EA95C" w14:textId="77777777" w:rsidR="00181453" w:rsidRDefault="00181453" w:rsidP="00BD077D">
      <w:pPr>
        <w:pStyle w:val="CETCaption"/>
        <w:rPr>
          <w:i w:val="0"/>
        </w:rPr>
      </w:pPr>
    </w:p>
    <w:p w14:paraId="68D26B83" w14:textId="77777777" w:rsidR="00600535" w:rsidRPr="00B57B36" w:rsidRDefault="00600535" w:rsidP="00600535">
      <w:pPr>
        <w:pStyle w:val="CETHeading1"/>
        <w:rPr>
          <w:lang w:val="en-GB"/>
        </w:rPr>
      </w:pPr>
      <w:r w:rsidRPr="00B57B36">
        <w:rPr>
          <w:lang w:val="en-GB"/>
        </w:rPr>
        <w:t>Conclusions</w:t>
      </w:r>
    </w:p>
    <w:p w14:paraId="6895E965" w14:textId="77777777" w:rsidR="00C06E02" w:rsidRDefault="00662916" w:rsidP="00C06E02">
      <w:pPr>
        <w:pStyle w:val="CETAcknowledgementstitle"/>
        <w:jc w:val="both"/>
      </w:pPr>
      <w:r w:rsidRPr="00784ED0">
        <w:rPr>
          <w:b w:val="0"/>
        </w:rPr>
        <w:t xml:space="preserve">This work demonstrated the capability of the «bioelectric well» of simultaneously removing oxidizable </w:t>
      </w:r>
      <w:r w:rsidR="00784ED0">
        <w:rPr>
          <w:b w:val="0"/>
        </w:rPr>
        <w:t xml:space="preserve">(toluene) </w:t>
      </w:r>
      <w:r w:rsidRPr="00784ED0">
        <w:rPr>
          <w:b w:val="0"/>
        </w:rPr>
        <w:t xml:space="preserve">and reducible </w:t>
      </w:r>
      <w:r w:rsidR="00784ED0">
        <w:rPr>
          <w:b w:val="0"/>
        </w:rPr>
        <w:t xml:space="preserve">(TCE) </w:t>
      </w:r>
      <w:r w:rsidRPr="00784ED0">
        <w:rPr>
          <w:b w:val="0"/>
        </w:rPr>
        <w:t>groundwater contaminants.</w:t>
      </w:r>
      <w:r w:rsidR="007575A8">
        <w:rPr>
          <w:b w:val="0"/>
        </w:rPr>
        <w:t xml:space="preserve"> The results highlighted the impact of the polarization on the contaminant removal, reaching </w:t>
      </w:r>
      <w:r w:rsidR="007575A8" w:rsidRPr="007575A8">
        <w:rPr>
          <w:b w:val="0"/>
        </w:rPr>
        <w:t xml:space="preserve">removal rates </w:t>
      </w:r>
      <w:r w:rsidR="007575A8">
        <w:rPr>
          <w:b w:val="0"/>
        </w:rPr>
        <w:t>for</w:t>
      </w:r>
      <w:r w:rsidR="007575A8" w:rsidRPr="007575A8">
        <w:rPr>
          <w:b w:val="0"/>
        </w:rPr>
        <w:t xml:space="preserve"> toluene and TCE as high as 0.76 ± 0.23 and 0.35 ± 0.05 µmol L</w:t>
      </w:r>
      <w:r w:rsidR="007575A8" w:rsidRPr="007575A8">
        <w:rPr>
          <w:b w:val="0"/>
          <w:vertAlign w:val="superscript"/>
        </w:rPr>
        <w:t>-1</w:t>
      </w:r>
      <w:r w:rsidR="007575A8" w:rsidRPr="007575A8">
        <w:rPr>
          <w:b w:val="0"/>
        </w:rPr>
        <w:t xml:space="preserve"> d</w:t>
      </w:r>
      <w:r w:rsidR="007575A8" w:rsidRPr="007575A8">
        <w:rPr>
          <w:b w:val="0"/>
          <w:vertAlign w:val="superscript"/>
        </w:rPr>
        <w:t>-1</w:t>
      </w:r>
      <w:r w:rsidR="007575A8">
        <w:rPr>
          <w:b w:val="0"/>
        </w:rPr>
        <w:t xml:space="preserve"> a</w:t>
      </w:r>
      <w:r w:rsidR="007575A8" w:rsidRPr="007575A8">
        <w:rPr>
          <w:b w:val="0"/>
        </w:rPr>
        <w:t>t the end of the polarized run</w:t>
      </w:r>
      <w:r w:rsidR="007575A8">
        <w:rPr>
          <w:b w:val="0"/>
        </w:rPr>
        <w:t xml:space="preserve">, which corresponded to </w:t>
      </w:r>
      <w:r w:rsidR="007575A8" w:rsidRPr="007575A8">
        <w:rPr>
          <w:b w:val="0"/>
        </w:rPr>
        <w:t>about 38%</w:t>
      </w:r>
      <w:r w:rsidR="007575A8">
        <w:rPr>
          <w:b w:val="0"/>
        </w:rPr>
        <w:t xml:space="preserve"> and</w:t>
      </w:r>
      <w:r w:rsidR="007575A8" w:rsidRPr="007575A8">
        <w:rPr>
          <w:b w:val="0"/>
        </w:rPr>
        <w:t xml:space="preserve"> 89%</w:t>
      </w:r>
      <w:r w:rsidR="007575A8">
        <w:rPr>
          <w:b w:val="0"/>
        </w:rPr>
        <w:t xml:space="preserve"> of the total influent load </w:t>
      </w:r>
      <w:r w:rsidR="007575A8" w:rsidRPr="007575A8">
        <w:rPr>
          <w:b w:val="0"/>
        </w:rPr>
        <w:t>for toluene and TCE</w:t>
      </w:r>
      <w:r w:rsidR="00E30FCA">
        <w:rPr>
          <w:b w:val="0"/>
        </w:rPr>
        <w:t>,</w:t>
      </w:r>
      <w:r w:rsidR="007575A8">
        <w:rPr>
          <w:b w:val="0"/>
        </w:rPr>
        <w:t xml:space="preserve"> respectively</w:t>
      </w:r>
      <w:r w:rsidR="007575A8" w:rsidRPr="007575A8">
        <w:rPr>
          <w:b w:val="0"/>
        </w:rPr>
        <w:t>.</w:t>
      </w:r>
      <w:r w:rsidR="00E30FCA">
        <w:rPr>
          <w:b w:val="0"/>
        </w:rPr>
        <w:t xml:space="preserve"> </w:t>
      </w:r>
      <w:r w:rsidRPr="00784ED0">
        <w:rPr>
          <w:b w:val="0"/>
        </w:rPr>
        <w:t xml:space="preserve">However, the dechlorination products were dominated by </w:t>
      </w:r>
      <w:r w:rsidR="00E30FCA" w:rsidRPr="00E30FCA">
        <w:rPr>
          <w:b w:val="0"/>
          <w:i/>
        </w:rPr>
        <w:t>cis</w:t>
      </w:r>
      <w:r w:rsidR="00E30FCA">
        <w:rPr>
          <w:b w:val="0"/>
        </w:rPr>
        <w:t>-</w:t>
      </w:r>
      <w:r w:rsidRPr="00784ED0">
        <w:rPr>
          <w:b w:val="0"/>
        </w:rPr>
        <w:t xml:space="preserve">DCE, which indicates an incomplete degradation of TCE. Therefore, </w:t>
      </w:r>
      <w:r w:rsidR="00E30FCA">
        <w:rPr>
          <w:b w:val="0"/>
        </w:rPr>
        <w:t xml:space="preserve">future research should address how to optimize the operational parameters of </w:t>
      </w:r>
      <w:r w:rsidRPr="00784ED0">
        <w:rPr>
          <w:b w:val="0"/>
        </w:rPr>
        <w:t xml:space="preserve">the system </w:t>
      </w:r>
      <w:proofErr w:type="gramStart"/>
      <w:r w:rsidRPr="00784ED0">
        <w:rPr>
          <w:b w:val="0"/>
        </w:rPr>
        <w:t>in order to</w:t>
      </w:r>
      <w:proofErr w:type="gramEnd"/>
      <w:r w:rsidRPr="00784ED0">
        <w:rPr>
          <w:b w:val="0"/>
        </w:rPr>
        <w:t xml:space="preserve"> </w:t>
      </w:r>
      <w:r w:rsidR="00E30FCA">
        <w:rPr>
          <w:b w:val="0"/>
        </w:rPr>
        <w:t>complete</w:t>
      </w:r>
      <w:r w:rsidRPr="00784ED0">
        <w:rPr>
          <w:b w:val="0"/>
        </w:rPr>
        <w:t xml:space="preserve"> the reductive dechlorination process all the way to </w:t>
      </w:r>
      <w:r w:rsidR="00E30FCA">
        <w:rPr>
          <w:b w:val="0"/>
        </w:rPr>
        <w:t>the harmless ethylene</w:t>
      </w:r>
      <w:r w:rsidRPr="00784ED0">
        <w:rPr>
          <w:b w:val="0"/>
        </w:rPr>
        <w:t xml:space="preserve">. The degradation of toluene can also be improved, as </w:t>
      </w:r>
      <w:r w:rsidR="00784ED0" w:rsidRPr="00784ED0">
        <w:rPr>
          <w:b w:val="0"/>
        </w:rPr>
        <w:t xml:space="preserve">demonstrated by previous works. </w:t>
      </w:r>
      <w:r w:rsidR="00E30FCA">
        <w:rPr>
          <w:b w:val="0"/>
        </w:rPr>
        <w:lastRenderedPageBreak/>
        <w:t>Moreover, a</w:t>
      </w:r>
      <w:r w:rsidR="005D6A11">
        <w:rPr>
          <w:b w:val="0"/>
        </w:rPr>
        <w:t xml:space="preserve">nalysis of the microbial communities could give further insights in the </w:t>
      </w:r>
      <w:r w:rsidR="002A0F07">
        <w:rPr>
          <w:b w:val="0"/>
        </w:rPr>
        <w:t>interplay of these contaminants in a bioelectrochemical system</w:t>
      </w:r>
      <w:r w:rsidR="00001B9E">
        <w:rPr>
          <w:b w:val="0"/>
        </w:rPr>
        <w:t>.</w:t>
      </w:r>
    </w:p>
    <w:p w14:paraId="4001D255" w14:textId="77777777" w:rsidR="00C06E02" w:rsidRDefault="00C06E02" w:rsidP="00C06E02">
      <w:pPr>
        <w:pStyle w:val="CETAcknowledgementstitle"/>
        <w:jc w:val="both"/>
      </w:pPr>
    </w:p>
    <w:p w14:paraId="459D05E6" w14:textId="5A27B2C3" w:rsidR="00600535" w:rsidRPr="00B57B36" w:rsidRDefault="00600535" w:rsidP="00C06E02">
      <w:pPr>
        <w:pStyle w:val="CETAcknowledgementstitle"/>
        <w:jc w:val="both"/>
      </w:pPr>
      <w:r w:rsidRPr="00B57B36">
        <w:t>Acknowledgments</w:t>
      </w:r>
    </w:p>
    <w:p w14:paraId="33F8138F" w14:textId="52B20801" w:rsidR="00600535" w:rsidRPr="00B57B36" w:rsidRDefault="001F7798" w:rsidP="00600535">
      <w:pPr>
        <w:pStyle w:val="CETBodytext"/>
        <w:rPr>
          <w:lang w:val="en-GB"/>
        </w:rPr>
      </w:pPr>
      <w:r w:rsidRPr="001F7798">
        <w:rPr>
          <w:lang w:val="en-GB"/>
        </w:rPr>
        <w:t>This study was supported by the European Union’s Horizon 2020 project ELECTRA (www.electra.site) under</w:t>
      </w:r>
      <w:r>
        <w:rPr>
          <w:lang w:val="en-GB"/>
        </w:rPr>
        <w:t xml:space="preserve"> grant agreement No. 826244</w:t>
      </w:r>
      <w:r w:rsidR="00600535" w:rsidRPr="00B57B36">
        <w:rPr>
          <w:lang w:val="en-GB"/>
        </w:rPr>
        <w:t>.</w:t>
      </w:r>
    </w:p>
    <w:p w14:paraId="5C00BCDE" w14:textId="77777777" w:rsidR="00C06E02" w:rsidRDefault="00C06E02" w:rsidP="00600535">
      <w:pPr>
        <w:pStyle w:val="CETReference"/>
      </w:pPr>
    </w:p>
    <w:p w14:paraId="4F1327F8" w14:textId="4E1D7AE7" w:rsidR="00600535" w:rsidRDefault="00600535" w:rsidP="00600535">
      <w:pPr>
        <w:pStyle w:val="CETReference"/>
      </w:pPr>
      <w:r w:rsidRPr="00B57B36">
        <w:t>References</w:t>
      </w:r>
    </w:p>
    <w:p w14:paraId="1F37D8E9" w14:textId="395A2F63" w:rsidR="00690C2B" w:rsidRPr="00690C2B" w:rsidRDefault="0099008D" w:rsidP="00690C2B">
      <w:pPr>
        <w:widowControl w:val="0"/>
        <w:autoSpaceDE w:val="0"/>
        <w:autoSpaceDN w:val="0"/>
        <w:adjustRightInd w:val="0"/>
        <w:spacing w:before="200" w:after="120" w:line="240" w:lineRule="auto"/>
        <w:ind w:left="480" w:hanging="480"/>
        <w:rPr>
          <w:rFonts w:cs="Arial"/>
          <w:noProof/>
          <w:szCs w:val="24"/>
        </w:rPr>
      </w:pPr>
      <w:r>
        <w:fldChar w:fldCharType="begin" w:fldLock="1"/>
      </w:r>
      <w:r w:rsidRPr="00A36CC5">
        <w:rPr>
          <w:lang w:val="en-US"/>
        </w:rPr>
        <w:instrText xml:space="preserve">ADDIN Mendeley Bibliography CSL_BIBLIOGRAPHY </w:instrText>
      </w:r>
      <w:r>
        <w:fldChar w:fldCharType="separate"/>
      </w:r>
      <w:r w:rsidR="00690C2B" w:rsidRPr="00690C2B">
        <w:rPr>
          <w:rFonts w:cs="Arial"/>
          <w:noProof/>
          <w:szCs w:val="24"/>
        </w:rPr>
        <w:t>Atashgahi, S., Lu, Y., Smidt, H., 2016. Overview of Known Organohalide-Respiring Bacteria—Phylogenetic Diversity and Environmental Distribution, in: Organohalide-Respiring Bacteria. Springer Berlin Heidelberg, Berlin, Heidelberg, pp. 63–105. https://doi.org/10.1007/978-3-662-49875-0_5</w:t>
      </w:r>
    </w:p>
    <w:p w14:paraId="3C89325E"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690C2B">
        <w:rPr>
          <w:rFonts w:cs="Arial"/>
          <w:noProof/>
          <w:szCs w:val="24"/>
        </w:rPr>
        <w:t>Davoodi, S.M., Miri, S., Taheran, M., Brar, S.K., Galvez-Cloutier, R., Martel, R., 2020. Bioremediation of Unconventional Oil Contaminated Ecosystems under Natural and Assisted Conditions: A Review. Environ. Sci. Technol. 54, 2054–2067. https://doi.org/10.1021/acs.est.9b00906</w:t>
      </w:r>
    </w:p>
    <w:p w14:paraId="765E242D" w14:textId="77777777" w:rsidR="00690C2B" w:rsidRPr="00352A43" w:rsidRDefault="00690C2B" w:rsidP="00690C2B">
      <w:pPr>
        <w:widowControl w:val="0"/>
        <w:autoSpaceDE w:val="0"/>
        <w:autoSpaceDN w:val="0"/>
        <w:adjustRightInd w:val="0"/>
        <w:spacing w:before="200" w:after="120" w:line="240" w:lineRule="auto"/>
        <w:ind w:left="480" w:hanging="480"/>
        <w:rPr>
          <w:rFonts w:cs="Arial"/>
          <w:noProof/>
          <w:szCs w:val="24"/>
          <w:lang w:val="it-IT"/>
        </w:rPr>
      </w:pPr>
      <w:r w:rsidRPr="00690C2B">
        <w:rPr>
          <w:rFonts w:cs="Arial"/>
          <w:noProof/>
          <w:szCs w:val="24"/>
        </w:rPr>
        <w:t xml:space="preserve">Guo, Y., Wen, Z., Zhang, C., Jakada, H., 2021. Contamination characteristics of chlorinated hydrocarbons in a fractured karst aquifer using TMVOC and hydro-chemical techniques. </w:t>
      </w:r>
      <w:r w:rsidRPr="00352A43">
        <w:rPr>
          <w:rFonts w:cs="Arial"/>
          <w:noProof/>
          <w:szCs w:val="24"/>
          <w:lang w:val="it-IT"/>
        </w:rPr>
        <w:t>Sci. Total Environ. 794, 148717. https://doi.org/10.1016/j.scitotenv.2021.148717</w:t>
      </w:r>
    </w:p>
    <w:p w14:paraId="149EBEFF"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352A43">
        <w:rPr>
          <w:rFonts w:cs="Arial"/>
          <w:noProof/>
          <w:szCs w:val="24"/>
          <w:lang w:val="it-IT"/>
        </w:rPr>
        <w:t xml:space="preserve">Lai, A., Aulenta, F., Mingazzini, M., Palumbo, M.T., Papini, M.P., Verdini, R., Majone, M., 2017. </w:t>
      </w:r>
      <w:r w:rsidRPr="00690C2B">
        <w:rPr>
          <w:rFonts w:cs="Arial"/>
          <w:noProof/>
          <w:szCs w:val="24"/>
        </w:rPr>
        <w:t>Bioelectrochemical approach for reductive and oxidative dechlorination of chlorinated aliphatic hydrocarbons (CAHs). Chemosphere 169. https://doi.org/10.1016/j.chemosphere.2016.11.072</w:t>
      </w:r>
    </w:p>
    <w:p w14:paraId="2911FECD"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690C2B">
        <w:rPr>
          <w:rFonts w:cs="Arial"/>
          <w:noProof/>
          <w:szCs w:val="24"/>
        </w:rPr>
        <w:t>Lhotský, O., Krákorová, E., Linhartová, L., Křesinová, Z., Steinová, J., Dvořák, L., Rodsand, T., Filipová, A., Kroupová, K., Wimmerová, L., Kukačka, J., Cajthaml, T., 2017. Assessment of biodegradation potential at a site contaminated by a mixture of BTEX, chlorinated pollutants and pharmaceuticals using passive sampling methods – Case study. Sci. Total Environ. 607–608, 1451–1465. https://doi.org/10.1016/j.scitotenv.2017.06.193</w:t>
      </w:r>
    </w:p>
    <w:p w14:paraId="3268C0DC"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690C2B">
        <w:rPr>
          <w:rFonts w:cs="Arial"/>
          <w:noProof/>
          <w:szCs w:val="24"/>
        </w:rPr>
        <w:t>Löffler, F.E., Yan, J., Ritalahti, K.M., Adrian, L., Edwards, E.A., Konstantinidis, K.T., Müller, J.A., Fullerton, H., Zinder, S.H., Spormann, A.M., 2013. Dehalococcoides mccartyi gen. nov., sp. nov., obligately organohalide-respiring anaerobic bacteria relevant to halogen cycling and bioremediation, belong to a novel bacterial class, Dehalococcoidia classis nov., order Dehalococcoidales ord. nov. and famil. Int. J. Syst. Evol. Microbiol. 63. https://doi.org/10.1099/ijs.0.034926-0</w:t>
      </w:r>
    </w:p>
    <w:p w14:paraId="77BB8F36" w14:textId="77777777" w:rsidR="00690C2B" w:rsidRPr="00352A43" w:rsidRDefault="00690C2B" w:rsidP="00690C2B">
      <w:pPr>
        <w:widowControl w:val="0"/>
        <w:autoSpaceDE w:val="0"/>
        <w:autoSpaceDN w:val="0"/>
        <w:adjustRightInd w:val="0"/>
        <w:spacing w:before="200" w:after="120" w:line="240" w:lineRule="auto"/>
        <w:ind w:left="480" w:hanging="480"/>
        <w:rPr>
          <w:rFonts w:cs="Arial"/>
          <w:noProof/>
          <w:szCs w:val="24"/>
          <w:lang w:val="it-IT"/>
        </w:rPr>
      </w:pPr>
      <w:r w:rsidRPr="00690C2B">
        <w:rPr>
          <w:rFonts w:cs="Arial"/>
          <w:noProof/>
          <w:szCs w:val="24"/>
        </w:rPr>
        <w:t xml:space="preserve">Ossai, I.C., Ahmed, A., Hassan, A., Hamid, F.S., 2020. Remediation of soil and water contaminated with petroleum hydrocarbon: A review. </w:t>
      </w:r>
      <w:r w:rsidRPr="00352A43">
        <w:rPr>
          <w:rFonts w:cs="Arial"/>
          <w:noProof/>
          <w:szCs w:val="24"/>
          <w:lang w:val="it-IT"/>
        </w:rPr>
        <w:t>Environ. Technol. Innov. 17, 100526. https://doi.org/10.1016/j.eti.2019.100526</w:t>
      </w:r>
    </w:p>
    <w:p w14:paraId="7171FBE8"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352A43">
        <w:rPr>
          <w:rFonts w:cs="Arial"/>
          <w:noProof/>
          <w:szCs w:val="24"/>
          <w:lang w:val="it-IT"/>
        </w:rPr>
        <w:t xml:space="preserve">Palma, E., Daghio, M., Franzetti, A., Petrangeli Papini, M., Aulenta, F., 2018. </w:t>
      </w:r>
      <w:r w:rsidRPr="00690C2B">
        <w:rPr>
          <w:rFonts w:cs="Arial"/>
          <w:noProof/>
          <w:szCs w:val="24"/>
        </w:rPr>
        <w:t>The bioelectric well: a novel approach for in situ treatment of hydrocarbon-contaminated groundwater. Microb. Biotechnol. 11, 112–118. https://doi.org/10.1111/1751-7915.12760</w:t>
      </w:r>
    </w:p>
    <w:p w14:paraId="3CD9E5B3"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690C2B">
        <w:rPr>
          <w:rFonts w:cs="Arial"/>
          <w:noProof/>
          <w:szCs w:val="24"/>
        </w:rPr>
        <w:t>Sadañoski, M.A., Tatarin, A.S., Barchuk, M.L., Gonzalez, M., Pegoraro, C.N., Fonseca, M.I., Levin, L.N., Villalba, L.L., 2020. Evaluation of bioremediation strategies for treating recalcitrant halo-organic pollutants in soil environments. Ecotoxicol. Environ. Saf. 202, 110929. https://doi.org/10.1016/j.ecoenv.2020.110929</w:t>
      </w:r>
    </w:p>
    <w:p w14:paraId="0E4DC598" w14:textId="77777777" w:rsidR="00690C2B" w:rsidRPr="00352A43" w:rsidRDefault="00690C2B" w:rsidP="00690C2B">
      <w:pPr>
        <w:widowControl w:val="0"/>
        <w:autoSpaceDE w:val="0"/>
        <w:autoSpaceDN w:val="0"/>
        <w:adjustRightInd w:val="0"/>
        <w:spacing w:before="200" w:after="120" w:line="240" w:lineRule="auto"/>
        <w:ind w:left="480" w:hanging="480"/>
        <w:rPr>
          <w:rFonts w:cs="Arial"/>
          <w:noProof/>
          <w:szCs w:val="24"/>
          <w:lang w:val="it-IT"/>
        </w:rPr>
      </w:pPr>
      <w:r w:rsidRPr="00690C2B">
        <w:rPr>
          <w:rFonts w:cs="Arial"/>
          <w:noProof/>
          <w:szCs w:val="24"/>
        </w:rPr>
        <w:t xml:space="preserve">Sander, R., 2015. Compilation of Henry’s law constants (version 4.0) for water as solvent. </w:t>
      </w:r>
      <w:r w:rsidRPr="00352A43">
        <w:rPr>
          <w:rFonts w:cs="Arial"/>
          <w:noProof/>
          <w:szCs w:val="24"/>
          <w:lang w:val="it-IT"/>
        </w:rPr>
        <w:t>Atmos. Chem. Phys. 15, 4399–4981. https://doi.org/10.5194/acp-15-4399-2015</w:t>
      </w:r>
    </w:p>
    <w:p w14:paraId="58A20938" w14:textId="77777777" w:rsidR="00690C2B" w:rsidRPr="00690C2B" w:rsidRDefault="00690C2B" w:rsidP="00690C2B">
      <w:pPr>
        <w:widowControl w:val="0"/>
        <w:autoSpaceDE w:val="0"/>
        <w:autoSpaceDN w:val="0"/>
        <w:adjustRightInd w:val="0"/>
        <w:spacing w:before="200" w:after="120" w:line="240" w:lineRule="auto"/>
        <w:ind w:left="480" w:hanging="480"/>
        <w:rPr>
          <w:rFonts w:cs="Arial"/>
          <w:noProof/>
          <w:szCs w:val="24"/>
        </w:rPr>
      </w:pPr>
      <w:r w:rsidRPr="00352A43">
        <w:rPr>
          <w:rFonts w:cs="Arial"/>
          <w:noProof/>
          <w:szCs w:val="24"/>
          <w:lang w:val="it-IT"/>
        </w:rPr>
        <w:t xml:space="preserve">Tucci, M., Carolina, C.V., Resitano, M., Matturro, B., Crognale, S., Pietrini, I., Rossetti, S., Harnisch, F., Aulenta, F., 2021. </w:t>
      </w:r>
      <w:r w:rsidRPr="00690C2B">
        <w:rPr>
          <w:rFonts w:cs="Arial"/>
          <w:noProof/>
          <w:szCs w:val="24"/>
        </w:rPr>
        <w:t>Simultaneous removal of hydrocarbons and sulfate from groundwater using a “bioelectric well.” Electrochim. Acta 388, 138636. https://doi.org/10.1016/j.electacta.2021.138636</w:t>
      </w:r>
    </w:p>
    <w:p w14:paraId="19C4FC68" w14:textId="761EC1DF" w:rsidR="004628D2" w:rsidRDefault="00690C2B" w:rsidP="00C06E02">
      <w:pPr>
        <w:widowControl w:val="0"/>
        <w:autoSpaceDE w:val="0"/>
        <w:autoSpaceDN w:val="0"/>
        <w:adjustRightInd w:val="0"/>
        <w:spacing w:before="200" w:after="120" w:line="240" w:lineRule="auto"/>
        <w:ind w:left="480" w:hanging="480"/>
      </w:pPr>
      <w:r w:rsidRPr="00690C2B">
        <w:rPr>
          <w:rFonts w:cs="Arial"/>
          <w:noProof/>
          <w:szCs w:val="24"/>
        </w:rPr>
        <w:t>Wang, H., Luo, H., Fallgren, P.H., Jin, S., Ren, Z.J., 2015. Bioelectrochemical system platform for sustainable environmental remediation and energy generation. Biotechnol. Adv. 33, 317–334. https://doi.org/10.1016/j.biotechadv.2015.04.003</w:t>
      </w:r>
      <w:r w:rsidR="0099008D">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A4FB" w14:textId="77777777" w:rsidR="00B05BDB" w:rsidRDefault="00B05BDB" w:rsidP="004F5E36">
      <w:r>
        <w:separator/>
      </w:r>
    </w:p>
  </w:endnote>
  <w:endnote w:type="continuationSeparator" w:id="0">
    <w:p w14:paraId="00ACDE2C" w14:textId="77777777" w:rsidR="00B05BDB" w:rsidRDefault="00B05BD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84C1" w14:textId="77777777" w:rsidR="00B05BDB" w:rsidRDefault="00B05BDB" w:rsidP="004F5E36">
      <w:r>
        <w:separator/>
      </w:r>
    </w:p>
  </w:footnote>
  <w:footnote w:type="continuationSeparator" w:id="0">
    <w:p w14:paraId="49DE657B" w14:textId="77777777" w:rsidR="00B05BDB" w:rsidRDefault="00B05BD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B9E"/>
    <w:rsid w:val="000027C0"/>
    <w:rsid w:val="000052FB"/>
    <w:rsid w:val="00010BD6"/>
    <w:rsid w:val="000117CB"/>
    <w:rsid w:val="000144A3"/>
    <w:rsid w:val="00015F6C"/>
    <w:rsid w:val="0003148D"/>
    <w:rsid w:val="00031EEC"/>
    <w:rsid w:val="000360D5"/>
    <w:rsid w:val="00051566"/>
    <w:rsid w:val="00062A9A"/>
    <w:rsid w:val="00065058"/>
    <w:rsid w:val="00067A30"/>
    <w:rsid w:val="000742A0"/>
    <w:rsid w:val="00086C39"/>
    <w:rsid w:val="0009667F"/>
    <w:rsid w:val="000A03B2"/>
    <w:rsid w:val="000D0268"/>
    <w:rsid w:val="000D34BE"/>
    <w:rsid w:val="000E102F"/>
    <w:rsid w:val="000E36F1"/>
    <w:rsid w:val="000E3A73"/>
    <w:rsid w:val="000E414A"/>
    <w:rsid w:val="000F093C"/>
    <w:rsid w:val="000F5F01"/>
    <w:rsid w:val="000F787B"/>
    <w:rsid w:val="000F7A54"/>
    <w:rsid w:val="001018C7"/>
    <w:rsid w:val="0010238D"/>
    <w:rsid w:val="00105113"/>
    <w:rsid w:val="00112C93"/>
    <w:rsid w:val="00116419"/>
    <w:rsid w:val="0012091F"/>
    <w:rsid w:val="001238DD"/>
    <w:rsid w:val="00126BC2"/>
    <w:rsid w:val="001308B6"/>
    <w:rsid w:val="00130E15"/>
    <w:rsid w:val="0013121F"/>
    <w:rsid w:val="00131FE6"/>
    <w:rsid w:val="0013263F"/>
    <w:rsid w:val="001331DF"/>
    <w:rsid w:val="00134DE4"/>
    <w:rsid w:val="0014034D"/>
    <w:rsid w:val="00144D16"/>
    <w:rsid w:val="00150E59"/>
    <w:rsid w:val="00152DE3"/>
    <w:rsid w:val="00164CF9"/>
    <w:rsid w:val="001667A6"/>
    <w:rsid w:val="001725E0"/>
    <w:rsid w:val="00176355"/>
    <w:rsid w:val="00181453"/>
    <w:rsid w:val="00184AD6"/>
    <w:rsid w:val="00191C38"/>
    <w:rsid w:val="001A3DBD"/>
    <w:rsid w:val="001A4AF7"/>
    <w:rsid w:val="001B0349"/>
    <w:rsid w:val="001B1E93"/>
    <w:rsid w:val="001B65C1"/>
    <w:rsid w:val="001C1C11"/>
    <w:rsid w:val="001C684B"/>
    <w:rsid w:val="001D0CFB"/>
    <w:rsid w:val="001D21AF"/>
    <w:rsid w:val="001D53FC"/>
    <w:rsid w:val="001E4494"/>
    <w:rsid w:val="001F42A5"/>
    <w:rsid w:val="001F7798"/>
    <w:rsid w:val="001F7B9D"/>
    <w:rsid w:val="001F7FBC"/>
    <w:rsid w:val="00200DF0"/>
    <w:rsid w:val="0020185F"/>
    <w:rsid w:val="00201C93"/>
    <w:rsid w:val="00220B6D"/>
    <w:rsid w:val="002224B4"/>
    <w:rsid w:val="002301BE"/>
    <w:rsid w:val="002320EB"/>
    <w:rsid w:val="002408A2"/>
    <w:rsid w:val="002447EF"/>
    <w:rsid w:val="00251550"/>
    <w:rsid w:val="00263B05"/>
    <w:rsid w:val="0027221A"/>
    <w:rsid w:val="00275B61"/>
    <w:rsid w:val="00280FAF"/>
    <w:rsid w:val="00282656"/>
    <w:rsid w:val="00293F2C"/>
    <w:rsid w:val="00296B83"/>
    <w:rsid w:val="002A0F07"/>
    <w:rsid w:val="002B4015"/>
    <w:rsid w:val="002B78CE"/>
    <w:rsid w:val="002C0761"/>
    <w:rsid w:val="002C2FB6"/>
    <w:rsid w:val="002E5FA7"/>
    <w:rsid w:val="002E69E5"/>
    <w:rsid w:val="002F3309"/>
    <w:rsid w:val="003008CE"/>
    <w:rsid w:val="00300940"/>
    <w:rsid w:val="003009B7"/>
    <w:rsid w:val="00300E56"/>
    <w:rsid w:val="00302B78"/>
    <w:rsid w:val="0030469C"/>
    <w:rsid w:val="00321CA6"/>
    <w:rsid w:val="00323456"/>
    <w:rsid w:val="00323763"/>
    <w:rsid w:val="003307E7"/>
    <w:rsid w:val="00334C09"/>
    <w:rsid w:val="00344BC4"/>
    <w:rsid w:val="00352A43"/>
    <w:rsid w:val="00370160"/>
    <w:rsid w:val="003723D4"/>
    <w:rsid w:val="003749F4"/>
    <w:rsid w:val="00381905"/>
    <w:rsid w:val="00384CC8"/>
    <w:rsid w:val="003871FD"/>
    <w:rsid w:val="003A1E30"/>
    <w:rsid w:val="003A2829"/>
    <w:rsid w:val="003A7D1C"/>
    <w:rsid w:val="003B304B"/>
    <w:rsid w:val="003B3146"/>
    <w:rsid w:val="003B5EAC"/>
    <w:rsid w:val="003D6FCE"/>
    <w:rsid w:val="003E6CD0"/>
    <w:rsid w:val="003F015E"/>
    <w:rsid w:val="00400414"/>
    <w:rsid w:val="00413334"/>
    <w:rsid w:val="0041446B"/>
    <w:rsid w:val="0044071E"/>
    <w:rsid w:val="00442185"/>
    <w:rsid w:val="0044329C"/>
    <w:rsid w:val="00453E24"/>
    <w:rsid w:val="00457456"/>
    <w:rsid w:val="004577FE"/>
    <w:rsid w:val="00457B9C"/>
    <w:rsid w:val="0046026B"/>
    <w:rsid w:val="0046164A"/>
    <w:rsid w:val="004628D2"/>
    <w:rsid w:val="00462DCD"/>
    <w:rsid w:val="004648AD"/>
    <w:rsid w:val="0046666E"/>
    <w:rsid w:val="004703A9"/>
    <w:rsid w:val="004760DE"/>
    <w:rsid w:val="004763D7"/>
    <w:rsid w:val="00484485"/>
    <w:rsid w:val="004918B9"/>
    <w:rsid w:val="00492089"/>
    <w:rsid w:val="00494330"/>
    <w:rsid w:val="004A004E"/>
    <w:rsid w:val="004A24CF"/>
    <w:rsid w:val="004A7F22"/>
    <w:rsid w:val="004C0633"/>
    <w:rsid w:val="004C3D1D"/>
    <w:rsid w:val="004C3F51"/>
    <w:rsid w:val="004C7913"/>
    <w:rsid w:val="004E4DD6"/>
    <w:rsid w:val="004E6603"/>
    <w:rsid w:val="004F3B5F"/>
    <w:rsid w:val="004F5E36"/>
    <w:rsid w:val="00502663"/>
    <w:rsid w:val="00507B47"/>
    <w:rsid w:val="00507BEF"/>
    <w:rsid w:val="00507CC9"/>
    <w:rsid w:val="005119A5"/>
    <w:rsid w:val="005278B7"/>
    <w:rsid w:val="00532016"/>
    <w:rsid w:val="005346C8"/>
    <w:rsid w:val="00536863"/>
    <w:rsid w:val="00543E7D"/>
    <w:rsid w:val="00547A68"/>
    <w:rsid w:val="005531C9"/>
    <w:rsid w:val="00570C43"/>
    <w:rsid w:val="00587951"/>
    <w:rsid w:val="00595247"/>
    <w:rsid w:val="005B2110"/>
    <w:rsid w:val="005B61E6"/>
    <w:rsid w:val="005C77E1"/>
    <w:rsid w:val="005C7B75"/>
    <w:rsid w:val="005D668A"/>
    <w:rsid w:val="005D6A11"/>
    <w:rsid w:val="005D6A2F"/>
    <w:rsid w:val="005E1A82"/>
    <w:rsid w:val="005E794C"/>
    <w:rsid w:val="005F0A28"/>
    <w:rsid w:val="005F0E5E"/>
    <w:rsid w:val="006000E4"/>
    <w:rsid w:val="00600535"/>
    <w:rsid w:val="00604911"/>
    <w:rsid w:val="00606740"/>
    <w:rsid w:val="00610CD6"/>
    <w:rsid w:val="00620DEE"/>
    <w:rsid w:val="00621F92"/>
    <w:rsid w:val="0062280A"/>
    <w:rsid w:val="00625639"/>
    <w:rsid w:val="00631B33"/>
    <w:rsid w:val="0064184D"/>
    <w:rsid w:val="006422CC"/>
    <w:rsid w:val="00652198"/>
    <w:rsid w:val="00660E3E"/>
    <w:rsid w:val="0066212B"/>
    <w:rsid w:val="00662916"/>
    <w:rsid w:val="00662E74"/>
    <w:rsid w:val="006703B0"/>
    <w:rsid w:val="00670AB8"/>
    <w:rsid w:val="00670CB3"/>
    <w:rsid w:val="00677889"/>
    <w:rsid w:val="00680C23"/>
    <w:rsid w:val="006872DC"/>
    <w:rsid w:val="0069059C"/>
    <w:rsid w:val="00690C2B"/>
    <w:rsid w:val="00693766"/>
    <w:rsid w:val="006A3281"/>
    <w:rsid w:val="006B4888"/>
    <w:rsid w:val="006C2E45"/>
    <w:rsid w:val="006C359C"/>
    <w:rsid w:val="006C3FF5"/>
    <w:rsid w:val="006C5579"/>
    <w:rsid w:val="006D6E8B"/>
    <w:rsid w:val="006E3765"/>
    <w:rsid w:val="006E737D"/>
    <w:rsid w:val="00702DB8"/>
    <w:rsid w:val="00713973"/>
    <w:rsid w:val="007165E3"/>
    <w:rsid w:val="00720A24"/>
    <w:rsid w:val="007271EB"/>
    <w:rsid w:val="00730A1B"/>
    <w:rsid w:val="00732386"/>
    <w:rsid w:val="0073514D"/>
    <w:rsid w:val="00735427"/>
    <w:rsid w:val="007447F3"/>
    <w:rsid w:val="0075499F"/>
    <w:rsid w:val="007575A8"/>
    <w:rsid w:val="007661C8"/>
    <w:rsid w:val="0077098D"/>
    <w:rsid w:val="00771528"/>
    <w:rsid w:val="007740F1"/>
    <w:rsid w:val="00784ED0"/>
    <w:rsid w:val="007906E4"/>
    <w:rsid w:val="007931FA"/>
    <w:rsid w:val="007A1EFE"/>
    <w:rsid w:val="007A4861"/>
    <w:rsid w:val="007A7BBA"/>
    <w:rsid w:val="007B0760"/>
    <w:rsid w:val="007B0C50"/>
    <w:rsid w:val="007B20E1"/>
    <w:rsid w:val="007B48F9"/>
    <w:rsid w:val="007C1A43"/>
    <w:rsid w:val="007C43CB"/>
    <w:rsid w:val="007D05D4"/>
    <w:rsid w:val="007E1377"/>
    <w:rsid w:val="007E6DFA"/>
    <w:rsid w:val="0080013E"/>
    <w:rsid w:val="008062E1"/>
    <w:rsid w:val="00813288"/>
    <w:rsid w:val="00815E45"/>
    <w:rsid w:val="008168FC"/>
    <w:rsid w:val="00821EF8"/>
    <w:rsid w:val="00830996"/>
    <w:rsid w:val="008345F1"/>
    <w:rsid w:val="00852D14"/>
    <w:rsid w:val="00865B07"/>
    <w:rsid w:val="008667EA"/>
    <w:rsid w:val="0087637F"/>
    <w:rsid w:val="00877BC9"/>
    <w:rsid w:val="00892AD5"/>
    <w:rsid w:val="0089731A"/>
    <w:rsid w:val="008A1512"/>
    <w:rsid w:val="008A6EBF"/>
    <w:rsid w:val="008B37A6"/>
    <w:rsid w:val="008B5A6B"/>
    <w:rsid w:val="008D32B9"/>
    <w:rsid w:val="008D433B"/>
    <w:rsid w:val="008E566E"/>
    <w:rsid w:val="008E6369"/>
    <w:rsid w:val="008F3949"/>
    <w:rsid w:val="0090161A"/>
    <w:rsid w:val="0090167D"/>
    <w:rsid w:val="00901EB6"/>
    <w:rsid w:val="009027FE"/>
    <w:rsid w:val="00904C62"/>
    <w:rsid w:val="0092222E"/>
    <w:rsid w:val="00922BA8"/>
    <w:rsid w:val="00924DAC"/>
    <w:rsid w:val="009251F3"/>
    <w:rsid w:val="00927058"/>
    <w:rsid w:val="00942750"/>
    <w:rsid w:val="009450CE"/>
    <w:rsid w:val="00945AB6"/>
    <w:rsid w:val="00947179"/>
    <w:rsid w:val="0095164B"/>
    <w:rsid w:val="00954090"/>
    <w:rsid w:val="009573E7"/>
    <w:rsid w:val="00963E05"/>
    <w:rsid w:val="00964A45"/>
    <w:rsid w:val="00967843"/>
    <w:rsid w:val="00967D54"/>
    <w:rsid w:val="00971028"/>
    <w:rsid w:val="00972CDA"/>
    <w:rsid w:val="0099008D"/>
    <w:rsid w:val="00993B84"/>
    <w:rsid w:val="00996483"/>
    <w:rsid w:val="00996F5A"/>
    <w:rsid w:val="009A3518"/>
    <w:rsid w:val="009A6396"/>
    <w:rsid w:val="009B041A"/>
    <w:rsid w:val="009B5615"/>
    <w:rsid w:val="009B687A"/>
    <w:rsid w:val="009C37C3"/>
    <w:rsid w:val="009C7C86"/>
    <w:rsid w:val="009D2FF7"/>
    <w:rsid w:val="009E48C6"/>
    <w:rsid w:val="009E7884"/>
    <w:rsid w:val="009E788A"/>
    <w:rsid w:val="009F0E08"/>
    <w:rsid w:val="00A03967"/>
    <w:rsid w:val="00A1763D"/>
    <w:rsid w:val="00A17CEC"/>
    <w:rsid w:val="00A2160D"/>
    <w:rsid w:val="00A237FB"/>
    <w:rsid w:val="00A27EF0"/>
    <w:rsid w:val="00A36CC5"/>
    <w:rsid w:val="00A42361"/>
    <w:rsid w:val="00A50B20"/>
    <w:rsid w:val="00A51390"/>
    <w:rsid w:val="00A60D13"/>
    <w:rsid w:val="00A72745"/>
    <w:rsid w:val="00A746B0"/>
    <w:rsid w:val="00A76EFC"/>
    <w:rsid w:val="00A833CA"/>
    <w:rsid w:val="00A91010"/>
    <w:rsid w:val="00A97F29"/>
    <w:rsid w:val="00AA702E"/>
    <w:rsid w:val="00AB0964"/>
    <w:rsid w:val="00AB5011"/>
    <w:rsid w:val="00AC7368"/>
    <w:rsid w:val="00AC7E48"/>
    <w:rsid w:val="00AD16B9"/>
    <w:rsid w:val="00AD2C60"/>
    <w:rsid w:val="00AD62EC"/>
    <w:rsid w:val="00AD6E5E"/>
    <w:rsid w:val="00AE377D"/>
    <w:rsid w:val="00AE37DE"/>
    <w:rsid w:val="00AF0EBA"/>
    <w:rsid w:val="00AF5664"/>
    <w:rsid w:val="00AF6775"/>
    <w:rsid w:val="00B02C8A"/>
    <w:rsid w:val="00B05993"/>
    <w:rsid w:val="00B05BDB"/>
    <w:rsid w:val="00B17FBD"/>
    <w:rsid w:val="00B26B67"/>
    <w:rsid w:val="00B315A6"/>
    <w:rsid w:val="00B31813"/>
    <w:rsid w:val="00B33365"/>
    <w:rsid w:val="00B57B36"/>
    <w:rsid w:val="00B57E6F"/>
    <w:rsid w:val="00B80281"/>
    <w:rsid w:val="00B8686D"/>
    <w:rsid w:val="00B93F69"/>
    <w:rsid w:val="00B94C2E"/>
    <w:rsid w:val="00BA60E3"/>
    <w:rsid w:val="00BB0BF6"/>
    <w:rsid w:val="00BB1DDC"/>
    <w:rsid w:val="00BC190C"/>
    <w:rsid w:val="00BC30C9"/>
    <w:rsid w:val="00BC374D"/>
    <w:rsid w:val="00BD077D"/>
    <w:rsid w:val="00BD5F5B"/>
    <w:rsid w:val="00BE3E58"/>
    <w:rsid w:val="00C01616"/>
    <w:rsid w:val="00C0162B"/>
    <w:rsid w:val="00C068ED"/>
    <w:rsid w:val="00C06E02"/>
    <w:rsid w:val="00C1577E"/>
    <w:rsid w:val="00C22E0C"/>
    <w:rsid w:val="00C2439A"/>
    <w:rsid w:val="00C302F4"/>
    <w:rsid w:val="00C32F44"/>
    <w:rsid w:val="00C345B1"/>
    <w:rsid w:val="00C36719"/>
    <w:rsid w:val="00C40142"/>
    <w:rsid w:val="00C40204"/>
    <w:rsid w:val="00C52C3C"/>
    <w:rsid w:val="00C53063"/>
    <w:rsid w:val="00C57182"/>
    <w:rsid w:val="00C57863"/>
    <w:rsid w:val="00C655FD"/>
    <w:rsid w:val="00C75407"/>
    <w:rsid w:val="00C8232D"/>
    <w:rsid w:val="00C870A8"/>
    <w:rsid w:val="00C91F84"/>
    <w:rsid w:val="00C94434"/>
    <w:rsid w:val="00C97979"/>
    <w:rsid w:val="00CA0D75"/>
    <w:rsid w:val="00CA1C95"/>
    <w:rsid w:val="00CA288B"/>
    <w:rsid w:val="00CA43DC"/>
    <w:rsid w:val="00CA5A9C"/>
    <w:rsid w:val="00CB03C9"/>
    <w:rsid w:val="00CC4C20"/>
    <w:rsid w:val="00CD3517"/>
    <w:rsid w:val="00CD367C"/>
    <w:rsid w:val="00CD5FE2"/>
    <w:rsid w:val="00CD6BF5"/>
    <w:rsid w:val="00CE7C68"/>
    <w:rsid w:val="00CF57E0"/>
    <w:rsid w:val="00D02B4C"/>
    <w:rsid w:val="00D040C4"/>
    <w:rsid w:val="00D138A7"/>
    <w:rsid w:val="00D177A2"/>
    <w:rsid w:val="00D25B06"/>
    <w:rsid w:val="00D44C4E"/>
    <w:rsid w:val="00D46B7E"/>
    <w:rsid w:val="00D504E3"/>
    <w:rsid w:val="00D57C84"/>
    <w:rsid w:val="00D6057D"/>
    <w:rsid w:val="00D61513"/>
    <w:rsid w:val="00D71640"/>
    <w:rsid w:val="00D836C5"/>
    <w:rsid w:val="00D84576"/>
    <w:rsid w:val="00D96398"/>
    <w:rsid w:val="00DA1399"/>
    <w:rsid w:val="00DA24C6"/>
    <w:rsid w:val="00DA4D7B"/>
    <w:rsid w:val="00DC1A3A"/>
    <w:rsid w:val="00DC5D1A"/>
    <w:rsid w:val="00DD0E13"/>
    <w:rsid w:val="00DD1BC4"/>
    <w:rsid w:val="00DE264A"/>
    <w:rsid w:val="00DF5072"/>
    <w:rsid w:val="00E02D18"/>
    <w:rsid w:val="00E041E7"/>
    <w:rsid w:val="00E128AF"/>
    <w:rsid w:val="00E23CA1"/>
    <w:rsid w:val="00E30FCA"/>
    <w:rsid w:val="00E409A8"/>
    <w:rsid w:val="00E50C12"/>
    <w:rsid w:val="00E65B91"/>
    <w:rsid w:val="00E7209D"/>
    <w:rsid w:val="00E72EAD"/>
    <w:rsid w:val="00E74BC2"/>
    <w:rsid w:val="00E77223"/>
    <w:rsid w:val="00E80E3E"/>
    <w:rsid w:val="00E8528B"/>
    <w:rsid w:val="00E85B94"/>
    <w:rsid w:val="00E863D4"/>
    <w:rsid w:val="00E91E77"/>
    <w:rsid w:val="00E978D0"/>
    <w:rsid w:val="00EA0DBD"/>
    <w:rsid w:val="00EA0E0F"/>
    <w:rsid w:val="00EA4613"/>
    <w:rsid w:val="00EA7F91"/>
    <w:rsid w:val="00EB1523"/>
    <w:rsid w:val="00EC0E49"/>
    <w:rsid w:val="00EC101F"/>
    <w:rsid w:val="00EC1D9F"/>
    <w:rsid w:val="00EC303B"/>
    <w:rsid w:val="00EE0131"/>
    <w:rsid w:val="00EE17B0"/>
    <w:rsid w:val="00EE6645"/>
    <w:rsid w:val="00EE6D92"/>
    <w:rsid w:val="00EF06D9"/>
    <w:rsid w:val="00EF1E9B"/>
    <w:rsid w:val="00EF5DFC"/>
    <w:rsid w:val="00F010F4"/>
    <w:rsid w:val="00F02C13"/>
    <w:rsid w:val="00F22849"/>
    <w:rsid w:val="00F2523D"/>
    <w:rsid w:val="00F27285"/>
    <w:rsid w:val="00F30C64"/>
    <w:rsid w:val="00F32BA2"/>
    <w:rsid w:val="00F32CDB"/>
    <w:rsid w:val="00F33F36"/>
    <w:rsid w:val="00F565FE"/>
    <w:rsid w:val="00F603F9"/>
    <w:rsid w:val="00F612A8"/>
    <w:rsid w:val="00F63A70"/>
    <w:rsid w:val="00F7534E"/>
    <w:rsid w:val="00F76AB6"/>
    <w:rsid w:val="00F921AC"/>
    <w:rsid w:val="00FA1802"/>
    <w:rsid w:val="00FA21D0"/>
    <w:rsid w:val="00FA5F5F"/>
    <w:rsid w:val="00FB730C"/>
    <w:rsid w:val="00FC2695"/>
    <w:rsid w:val="00FC3E03"/>
    <w:rsid w:val="00FC3FC1"/>
    <w:rsid w:val="00FD4E6A"/>
    <w:rsid w:val="00FE5FE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3E6CD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E744-E3B4-40EF-89E7-97FDEF85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9847</Words>
  <Characters>56128</Characters>
  <Application>Microsoft Office Word</Application>
  <DocSecurity>0</DocSecurity>
  <Lines>467</Lines>
  <Paragraphs>131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Federico Aulenta</cp:lastModifiedBy>
  <cp:revision>8</cp:revision>
  <cp:lastPrinted>2015-05-12T18:31:00Z</cp:lastPrinted>
  <dcterms:created xsi:type="dcterms:W3CDTF">2022-03-04T12:28:00Z</dcterms:created>
  <dcterms:modified xsi:type="dcterms:W3CDTF">2022-03-04T12:46:00Z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ffe81c31-fcf3-3796-b748-6f7897d25a08</vt:lpwstr>
  </property>
  <property fmtid="{D5CDD505-2E9C-101B-9397-08002B2CF9AE}" pid="6" name="Mendeley Citation Style_1">
    <vt:lpwstr>http://www.zotero.org/styles/water-research</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 6th edition</vt:lpwstr>
  </property>
  <property fmtid="{D5CDD505-2E9C-101B-9397-08002B2CF9AE}" pid="11" name="Mendeley Recent Style Id 2_1">
    <vt:lpwstr>http://www.zotero.org/styles/biosensors-and-bioelectronics</vt:lpwstr>
  </property>
  <property fmtid="{D5CDD505-2E9C-101B-9397-08002B2CF9AE}" pid="12" name="Mendeley Recent Style Name 2_1">
    <vt:lpwstr>Biosensors and Bioelectronics</vt:lpwstr>
  </property>
  <property fmtid="{D5CDD505-2E9C-101B-9397-08002B2CF9AE}" pid="13" name="Mendeley Recent Style Id 3_1">
    <vt:lpwstr>http://www.zotero.org/styles/biotechnology-advances</vt:lpwstr>
  </property>
  <property fmtid="{D5CDD505-2E9C-101B-9397-08002B2CF9AE}" pid="14" name="Mendeley Recent Style Name 3_1">
    <vt:lpwstr>Biotechnology Advances</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http://www.zotero.org/styles/electrochimica-acta</vt:lpwstr>
  </property>
  <property fmtid="{D5CDD505-2E9C-101B-9397-08002B2CF9AE}" pid="20" name="Mendeley Recent Style Name 6_1">
    <vt:lpwstr>Electrochimica Acta</vt:lpwstr>
  </property>
  <property fmtid="{D5CDD505-2E9C-101B-9397-08002B2CF9AE}" pid="21" name="Mendeley Recent Style Id 7_1">
    <vt:lpwstr>http://www.zotero.org/styles/journal-of-cleaner-production</vt:lpwstr>
  </property>
  <property fmtid="{D5CDD505-2E9C-101B-9397-08002B2CF9AE}" pid="22" name="Mendeley Recent Style Name 7_1">
    <vt:lpwstr>Journal of Cleaner Production</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http://www.zotero.org/styles/water-research</vt:lpwstr>
  </property>
  <property fmtid="{D5CDD505-2E9C-101B-9397-08002B2CF9AE}" pid="26" name="Mendeley Recent Style Name 9_1">
    <vt:lpwstr>Water Research</vt:lpwstr>
  </property>
</Properties>
</file>